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4"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5"/>
          <w:szCs w:val="25"/>
          <w:b w:val="1"/>
          <w:bCs w:val="1"/>
          <w:color w:val="auto"/>
        </w:rPr>
        <w:t>(Amendment No. 1)</w:t>
      </w:r>
    </w:p>
    <w:p>
      <w:pPr>
        <w:ind w:left="3780"/>
        <w:spacing w:after="0"/>
        <w:rPr>
          <w:sz w:val="20"/>
          <w:szCs w:val="20"/>
          <w:color w:val="auto"/>
        </w:rPr>
      </w:pPr>
      <w:r>
        <w:rPr>
          <w:rFonts w:ascii="Times New Roman" w:cs="Times New Roman" w:eastAsia="Times New Roman" w:hAnsi="Times New Roman"/>
          <w:sz w:val="25"/>
          <w:szCs w:val="25"/>
          <w:b w:val="1"/>
          <w:bCs w:val="1"/>
          <w:color w:val="auto"/>
        </w:rPr>
        <w:t>(Final Amendment)</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Tender Offer Statement under Section 14(d)(1) or Section 13(e)(1)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PDL BIOPHARMA,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Subject Company (issuer))</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PDL BIOPHARMA,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Filing Persons (issuer))</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2.75% Convertible Senior Notes due 2021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69329Y AG9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(CUSIP Number of Class of Securities)</w:t>
      </w:r>
    </w:p>
    <w:p>
      <w:pPr>
        <w:spacing w:after="0" w:line="23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Christopher L. Stone</w:t>
      </w:r>
    </w:p>
    <w:p>
      <w:pPr>
        <w:spacing w:after="0" w:line="29"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Vice President, General Counsel and Secretary</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59 Damonte Ranch Parkway, Suite B-375</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Reno, Nevada, 89521</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(775) 832-8500</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(Name, address and telephone number of person authorized to receive notices and communications on behalf of filing persons)</w:t>
      </w: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Karen E. Bertero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J. Moloney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Gibson, Dunn &amp; Crutcher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333 South Grand Ave.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Los Angeles, CA 90071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(213) 229-7000</w:t>
      </w:r>
    </w:p>
    <w:p>
      <w:pPr>
        <w:sectPr>
          <w:pgSz w:w="11900" w:h="16838" w:orient="portrait"/>
          <w:cols w:equalWidth="0" w:num="1">
            <w:col w:w="9680"/>
          </w:cols>
          <w:pgMar w:left="1100" w:top="1440" w:right="111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3960" w:type="dxa"/>
            <w:vAlign w:val="bottom"/>
          </w:tcPr>
          <w:p>
            <w:pPr>
              <w:spacing w:after="0"/>
              <w:rPr>
                <w:sz w:val="20"/>
                <w:szCs w:val="20"/>
                <w:color w:val="auto"/>
              </w:rPr>
            </w:pPr>
          </w:p>
        </w:tc>
        <w:tc>
          <w:tcPr>
            <w:tcW w:w="73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CALCULATION OF FILING FEE</w:t>
            </w:r>
          </w:p>
        </w:tc>
      </w:tr>
      <w:tr>
        <w:trPr>
          <w:trHeight w:val="270"/>
        </w:trPr>
        <w:tc>
          <w:tcPr>
            <w:tcW w:w="39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spacing w:after="0"/>
              <w:rPr>
                <w:sz w:val="23"/>
                <w:szCs w:val="23"/>
                <w:color w:val="auto"/>
              </w:rPr>
            </w:pPr>
          </w:p>
        </w:tc>
        <w:tc>
          <w:tcPr>
            <w:tcW w:w="5760" w:type="dxa"/>
            <w:vAlign w:val="bottom"/>
            <w:tcBorders>
              <w:bottom w:val="single" w:sz="8" w:color="auto"/>
            </w:tcBorders>
          </w:tcPr>
          <w:p>
            <w:pPr>
              <w:spacing w:after="0"/>
              <w:rPr>
                <w:sz w:val="23"/>
                <w:szCs w:val="23"/>
                <w:color w:val="auto"/>
              </w:rPr>
            </w:pPr>
          </w:p>
        </w:tc>
      </w:tr>
      <w:tr>
        <w:trPr>
          <w:trHeight w:val="243"/>
        </w:trPr>
        <w:tc>
          <w:tcPr>
            <w:tcW w:w="3960" w:type="dxa"/>
            <w:vAlign w:val="bottom"/>
            <w:tcBorders>
              <w:left w:val="single" w:sz="8" w:color="auto"/>
              <w:bottom w:val="single" w:sz="8" w:color="auto"/>
            </w:tcBorders>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Transaction valuation*</w:t>
            </w:r>
          </w:p>
        </w:tc>
        <w:tc>
          <w:tcPr>
            <w:tcW w:w="1540" w:type="dxa"/>
            <w:vAlign w:val="bottom"/>
            <w:tcBorders>
              <w:bottom w:val="single" w:sz="8" w:color="auto"/>
              <w:right w:val="single" w:sz="8" w:color="auto"/>
            </w:tcBorders>
          </w:tcPr>
          <w:p>
            <w:pPr>
              <w:spacing w:after="0"/>
              <w:rPr>
                <w:sz w:val="21"/>
                <w:szCs w:val="21"/>
                <w:color w:val="auto"/>
              </w:rPr>
            </w:pPr>
          </w:p>
        </w:tc>
        <w:tc>
          <w:tcPr>
            <w:tcW w:w="5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 filing fee**</w:t>
            </w:r>
          </w:p>
        </w:tc>
      </w:tr>
      <w:tr>
        <w:trPr>
          <w:trHeight w:val="250"/>
        </w:trPr>
        <w:tc>
          <w:tcPr>
            <w:tcW w:w="3960" w:type="dxa"/>
            <w:vAlign w:val="bottom"/>
            <w:tcBorders>
              <w:left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$407,351.25</w:t>
            </w:r>
          </w:p>
        </w:tc>
        <w:tc>
          <w:tcPr>
            <w:tcW w:w="1540" w:type="dxa"/>
            <w:vAlign w:val="bottom"/>
            <w:tcBorders>
              <w:bottom w:val="single" w:sz="8" w:color="auto"/>
              <w:right w:val="single" w:sz="8" w:color="auto"/>
            </w:tcBorders>
          </w:tcPr>
          <w:p>
            <w:pPr>
              <w:spacing w:after="0"/>
              <w:rPr>
                <w:sz w:val="21"/>
                <w:szCs w:val="21"/>
                <w:color w:val="auto"/>
              </w:rPr>
            </w:pPr>
          </w:p>
        </w:tc>
        <w:tc>
          <w:tcPr>
            <w:tcW w:w="5760" w:type="dxa"/>
            <w:vAlign w:val="bottom"/>
            <w:tcBorders>
              <w:bottom w:val="single" w:sz="8" w:color="auto"/>
              <w:right w:val="single" w:sz="8" w:color="auto"/>
            </w:tcBorders>
          </w:tcPr>
          <w:p>
            <w:pPr>
              <w:jc w:val="right"/>
              <w:ind w:right="2550"/>
              <w:spacing w:after="0"/>
              <w:rPr>
                <w:sz w:val="20"/>
                <w:szCs w:val="20"/>
                <w:color w:val="auto"/>
              </w:rPr>
            </w:pPr>
            <w:r>
              <w:rPr>
                <w:rFonts w:ascii="Times New Roman" w:cs="Times New Roman" w:eastAsia="Times New Roman" w:hAnsi="Times New Roman"/>
                <w:sz w:val="18"/>
                <w:szCs w:val="18"/>
                <w:color w:val="auto"/>
              </w:rPr>
              <w:t>$44.44</w:t>
            </w:r>
          </w:p>
        </w:tc>
      </w:tr>
    </w:tbl>
    <w:p>
      <w:pPr>
        <w:spacing w:after="0" w:line="212" w:lineRule="exact"/>
        <w:rPr>
          <w:sz w:val="20"/>
          <w:szCs w:val="20"/>
          <w:color w:val="auto"/>
        </w:rPr>
      </w:pPr>
    </w:p>
    <w:p>
      <w:pPr>
        <w:ind w:left="660" w:right="280" w:hanging="652"/>
        <w:spacing w:after="0" w:line="260" w:lineRule="auto"/>
        <w:tabs>
          <w:tab w:leader="none" w:pos="282"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purposes of calculating the filing fee. The repurchase price of the 2.75% Convertible Senior Notes due 2021 (the “</w:t>
      </w:r>
      <w:r>
        <w:rPr>
          <w:rFonts w:ascii="Times New Roman" w:cs="Times New Roman" w:eastAsia="Times New Roman" w:hAnsi="Times New Roman"/>
          <w:sz w:val="21"/>
          <w:szCs w:val="21"/>
          <w:b w:val="1"/>
          <w:bCs w:val="1"/>
          <w:color w:val="auto"/>
        </w:rPr>
        <w:t>Notes</w:t>
      </w:r>
      <w:r>
        <w:rPr>
          <w:rFonts w:ascii="Times New Roman" w:cs="Times New Roman" w:eastAsia="Times New Roman" w:hAnsi="Times New Roman"/>
          <w:sz w:val="18"/>
          <w:szCs w:val="18"/>
          <w:color w:val="auto"/>
        </w:rPr>
        <w:t>”), as described herein, is calculated as the sum of (a) $405,000.00, representing 100% of the principal amount of the Notes outstanding as of January 14, 2021, plus (b) $2,351.25, representing accrued but unpaid interest on the Notes up to, but excluding, February 17, 2021.</w:t>
      </w:r>
    </w:p>
    <w:p>
      <w:pPr>
        <w:spacing w:after="0" w:line="194" w:lineRule="exact"/>
        <w:rPr>
          <w:sz w:val="20"/>
          <w:szCs w:val="20"/>
          <w:color w:val="auto"/>
        </w:rPr>
      </w:pPr>
    </w:p>
    <w:p>
      <w:pPr>
        <w:ind w:left="660" w:right="300" w:hanging="652"/>
        <w:spacing w:after="0" w:line="282" w:lineRule="auto"/>
        <w:tabs>
          <w:tab w:leader="none" w:pos="36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filing fee, calculated in accordance with Rule 0-11(b) and Rule 1-11(d) of the Securities Exchange Act of 1934, as amended and Fee Rate Advisory #1 for Fiscal Year 2021 equals $109.10 per $1,000,000 of the aggregate value of the transaction.</w:t>
      </w:r>
    </w:p>
    <w:p>
      <w:pPr>
        <w:spacing w:after="0" w:line="189" w:lineRule="exact"/>
        <w:rPr>
          <w:sz w:val="20"/>
          <w:szCs w:val="20"/>
          <w:color w:val="auto"/>
        </w:rPr>
      </w:pPr>
    </w:p>
    <w:p>
      <w:pPr>
        <w:ind w:left="660" w:right="220" w:hanging="652"/>
        <w:spacing w:after="0" w:line="281" w:lineRule="auto"/>
        <w:tabs>
          <w:tab w:leader="none" w:pos="37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pacing w:after="0" w:line="1"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Amount Previously Paid: $44.44</w:t>
            </w:r>
          </w:p>
        </w:tc>
        <w:tc>
          <w:tcPr>
            <w:tcW w:w="4320" w:type="dxa"/>
            <w:vAlign w:val="bottom"/>
          </w:tcPr>
          <w:p>
            <w:pPr>
              <w:jc w:val="center"/>
              <w:ind w:left="1730"/>
              <w:spacing w:after="0"/>
              <w:rPr>
                <w:sz w:val="20"/>
                <w:szCs w:val="20"/>
                <w:color w:val="auto"/>
              </w:rPr>
            </w:pPr>
            <w:r>
              <w:rPr>
                <w:rFonts w:ascii="Times New Roman" w:cs="Times New Roman" w:eastAsia="Times New Roman" w:hAnsi="Times New Roman"/>
                <w:sz w:val="18"/>
                <w:szCs w:val="18"/>
                <w:color w:val="auto"/>
                <w:w w:val="99"/>
              </w:rPr>
              <w:t>Filing Party: PDL BioPharma, Inc.</w:t>
            </w:r>
          </w:p>
        </w:tc>
      </w:tr>
      <w:tr>
        <w:trPr>
          <w:trHeight w:val="257"/>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Form or Registration No.: Schedule TO-I</w:t>
            </w:r>
          </w:p>
        </w:tc>
        <w:tc>
          <w:tcPr>
            <w:tcW w:w="4320" w:type="dxa"/>
            <w:vAlign w:val="bottom"/>
          </w:tcPr>
          <w:p>
            <w:pPr>
              <w:jc w:val="center"/>
              <w:ind w:left="1750"/>
              <w:spacing w:after="0"/>
              <w:rPr>
                <w:sz w:val="20"/>
                <w:szCs w:val="20"/>
                <w:color w:val="auto"/>
              </w:rPr>
            </w:pPr>
            <w:r>
              <w:rPr>
                <w:rFonts w:ascii="Times New Roman" w:cs="Times New Roman" w:eastAsia="Times New Roman" w:hAnsi="Times New Roman"/>
                <w:sz w:val="18"/>
                <w:szCs w:val="18"/>
                <w:color w:val="auto"/>
                <w:w w:val="99"/>
              </w:rPr>
              <w:t>Date Filed: January 15, 2021</w:t>
            </w:r>
          </w:p>
        </w:tc>
      </w:tr>
    </w:tbl>
    <w:p>
      <w:pPr>
        <w:spacing w:after="0" w:line="346" w:lineRule="exact"/>
        <w:rPr>
          <w:sz w:val="20"/>
          <w:szCs w:val="20"/>
          <w:color w:val="auto"/>
        </w:rPr>
      </w:pPr>
    </w:p>
    <w:p>
      <w:pPr>
        <w:ind w:left="980" w:right="2080" w:hanging="972"/>
        <w:spacing w:after="0" w:line="515" w:lineRule="auto"/>
        <w:tabs>
          <w:tab w:leader="none" w:pos="37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30" w:lineRule="exact"/>
        <w:rPr>
          <w:sz w:val="20"/>
          <w:szCs w:val="20"/>
          <w:color w:val="auto"/>
        </w:rPr>
      </w:pPr>
    </w:p>
    <w:p>
      <w:pPr>
        <w:ind w:left="1960" w:right="5660" w:hanging="8"/>
        <w:spacing w:after="0" w:line="226" w:lineRule="exact"/>
        <w:tabs>
          <w:tab w:leader="none" w:pos="2322"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third-party tender offer subject to Rule 14d-1.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issuer tender offer subject to Rule 13e-4.</w:t>
      </w:r>
    </w:p>
    <w:p>
      <w:pPr>
        <w:ind w:left="2300" w:hanging="348"/>
        <w:spacing w:after="0"/>
        <w:tabs>
          <w:tab w:leader="none" w:pos="23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9" w:lineRule="exact"/>
        <w:rPr>
          <w:rFonts w:ascii="MS PGothic" w:cs="MS PGothic" w:eastAsia="MS PGothic" w:hAnsi="MS PGothic"/>
          <w:sz w:val="18"/>
          <w:szCs w:val="18"/>
          <w:color w:val="auto"/>
        </w:rPr>
      </w:pPr>
    </w:p>
    <w:p>
      <w:pPr>
        <w:ind w:left="2300" w:hanging="348"/>
        <w:spacing w:after="0"/>
        <w:tabs>
          <w:tab w:leader="none" w:pos="230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203" w:lineRule="exact"/>
        <w:rPr>
          <w:sz w:val="20"/>
          <w:szCs w:val="20"/>
          <w:color w:val="auto"/>
        </w:rPr>
      </w:pPr>
    </w:p>
    <w:p>
      <w:pPr>
        <w:ind w:left="980"/>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8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relied upon:</w:t>
      </w:r>
    </w:p>
    <w:p>
      <w:pPr>
        <w:spacing w:after="0" w:line="234" w:lineRule="exact"/>
        <w:rPr>
          <w:sz w:val="20"/>
          <w:szCs w:val="20"/>
          <w:color w:val="auto"/>
        </w:rPr>
      </w:pPr>
    </w:p>
    <w:p>
      <w:pPr>
        <w:ind w:left="2300" w:hanging="348"/>
        <w:spacing w:after="0"/>
        <w:tabs>
          <w:tab w:leader="none" w:pos="230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9" w:lineRule="exact"/>
        <w:rPr>
          <w:rFonts w:ascii="MS PGothic" w:cs="MS PGothic" w:eastAsia="MS PGothic" w:hAnsi="MS PGothic"/>
          <w:sz w:val="18"/>
          <w:szCs w:val="18"/>
          <w:color w:val="auto"/>
        </w:rPr>
      </w:pPr>
    </w:p>
    <w:p>
      <w:pPr>
        <w:ind w:left="2300" w:hanging="348"/>
        <w:spacing w:after="0"/>
        <w:tabs>
          <w:tab w:leader="none" w:pos="2300" w:val="left"/>
        </w:tabs>
        <w:numPr>
          <w:ilvl w:val="0"/>
          <w:numId w:val="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ectPr>
          <w:pgSz w:w="11900" w:h="16838" w:orient="portrait"/>
          <w:cols w:equalWidth="0" w:num="1">
            <w:col w:w="11260"/>
          </w:cols>
          <w:pgMar w:left="320" w:top="1413" w:right="31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INTRODUCTORY STATEMENT</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Amendment No. 1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amends and supplements the Tender Offer Statement on Schedule TO originally filed with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January 15, 2021 (the “</w:t>
      </w:r>
      <w:r>
        <w:rPr>
          <w:rFonts w:ascii="Times New Roman" w:cs="Times New Roman" w:eastAsia="Times New Roman" w:hAnsi="Times New Roman"/>
          <w:sz w:val="18"/>
          <w:szCs w:val="18"/>
          <w:b w:val="1"/>
          <w:bCs w:val="1"/>
          <w:color w:val="auto"/>
        </w:rPr>
        <w:t>Schedule TO</w:t>
      </w:r>
      <w:r>
        <w:rPr>
          <w:rFonts w:ascii="Times New Roman" w:cs="Times New Roman" w:eastAsia="Times New Roman" w:hAnsi="Times New Roman"/>
          <w:sz w:val="18"/>
          <w:szCs w:val="18"/>
          <w:color w:val="auto"/>
        </w:rPr>
        <w:t>”), and relates to the right of each holder of the Notes (each,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at the Holder’s option, to require the Company to repurchase for cash such Holder’s Notes, or any portion of the principal amount thereof that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equal to $1,000 or an integral multiple of $1,000, on February 17, 2021 (the “</w:t>
      </w:r>
      <w:r>
        <w:rPr>
          <w:rFonts w:ascii="Times New Roman" w:cs="Times New Roman" w:eastAsia="Times New Roman" w:hAnsi="Times New Roman"/>
          <w:sz w:val="18"/>
          <w:szCs w:val="18"/>
          <w:b w:val="1"/>
          <w:bCs w:val="1"/>
          <w:color w:val="auto"/>
        </w:rPr>
        <w:t>Fundamental Change Repurchase Date</w:t>
      </w:r>
      <w:r>
        <w:rPr>
          <w:rFonts w:ascii="Times New Roman" w:cs="Times New Roman" w:eastAsia="Times New Roman" w:hAnsi="Times New Roman"/>
          <w:sz w:val="18"/>
          <w:szCs w:val="18"/>
          <w:color w:val="auto"/>
        </w:rPr>
        <w:t>”), at a price equal to 100%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plus accrued and unpaid interest thereon, if any, up to, but excluding, the Fundamental Change Repurchase Date, pursuant to the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conditions of the Fundamental Change Repurchase Right Notice, Notice of Right to Convert and Offer to Repurchase, dated January 15, 2021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the Indenture and the Notes.</w:t>
      </w:r>
    </w:p>
    <w:p>
      <w:pPr>
        <w:spacing w:after="0" w:line="23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This Amendment is intended to satisfy the disclosure requirements of Rule 13e-4(c)(2) under the Securities Exchange Act of 1934, as amended. The Schedule TO, and all the information set forth in the Notice, to the extent incorporated by reference therein, is hereby amended and supplemented as set forth below. Every Item in the Schedule TO is automatically updated, to the extent such Item incorporates by reference any section of the Notice that is amended and supplemented therein. All capitalized terms used but not otherwise defined in this Amendment have the meanings ascribed to such terms in the Notice.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 through 9 and Item 11.</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Amendment No. 1 amends and supplements Item 4 of this Schedule TO as follows:</w:t>
      </w:r>
    </w:p>
    <w:p>
      <w:pPr>
        <w:spacing w:after="0" w:line="212" w:lineRule="exact"/>
        <w:rPr>
          <w:sz w:val="20"/>
          <w:szCs w:val="20"/>
          <w:color w:val="auto"/>
        </w:rPr>
      </w:pPr>
    </w:p>
    <w:p>
      <w:pPr>
        <w:ind w:right="420" w:firstLine="648"/>
        <w:spacing w:after="0" w:line="226" w:lineRule="auto"/>
        <w:rPr>
          <w:sz w:val="20"/>
          <w:szCs w:val="20"/>
          <w:color w:val="auto"/>
        </w:rPr>
      </w:pPr>
      <w:r>
        <w:rPr>
          <w:rFonts w:ascii="Times New Roman" w:cs="Times New Roman" w:eastAsia="Times New Roman" w:hAnsi="Times New Roman"/>
          <w:sz w:val="18"/>
          <w:szCs w:val="18"/>
          <w:color w:val="auto"/>
        </w:rPr>
        <w:t>“The Fundamental Change Repurchase Right expired at 5:00 p.m. Eastern Time on February 16, 2021. $142,000 in Notes were validly surrendered for purchase, and not validly withdrawn, pursuant to the Notice. The Company has received conversion notices with respect to $50,000 in Notes.”</w:t>
      </w:r>
    </w:p>
    <w:p>
      <w:pPr>
        <w:sectPr>
          <w:pgSz w:w="11900" w:h="16838" w:orient="portrait"/>
          <w:cols w:equalWidth="0" w:num="1">
            <w:col w:w="11240"/>
          </w:cols>
          <w:pgMar w:left="320" w:top="141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400" w:type="dxa"/>
            <w:vAlign w:val="bottom"/>
          </w:tcPr>
          <w:p>
            <w:pPr>
              <w:spacing w:after="0"/>
              <w:rPr>
                <w:sz w:val="20"/>
                <w:szCs w:val="20"/>
                <w:color w:val="auto"/>
              </w:rPr>
            </w:pPr>
          </w:p>
        </w:tc>
        <w:tc>
          <w:tcPr>
            <w:tcW w:w="9840" w:type="dxa"/>
            <w:vAlign w:val="bottom"/>
            <w:gridSpan w:val="4"/>
          </w:tcPr>
          <w:p>
            <w:pPr>
              <w:ind w:left="35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506"/>
        </w:trPr>
        <w:tc>
          <w:tcPr>
            <w:tcW w:w="14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34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43"/>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(a)(1)</w:t>
            </w:r>
          </w:p>
        </w:tc>
        <w:tc>
          <w:tcPr>
            <w:tcW w:w="9840" w:type="dxa"/>
            <w:vAlign w:val="bottom"/>
            <w:gridSpan w:val="4"/>
          </w:tcPr>
          <w:p>
            <w:pPr>
              <w:spacing w:after="0"/>
              <w:rPr>
                <w:rFonts w:ascii="Times New Roman" w:cs="Times New Roman" w:eastAsia="Times New Roman" w:hAnsi="Times New Roman"/>
                <w:sz w:val="18"/>
                <w:szCs w:val="18"/>
                <w:color w:val="0000FF"/>
                <w:w w:val="99"/>
              </w:rPr>
            </w:pPr>
            <w:hyperlink r:id="rId8">
              <w:r>
                <w:rPr>
                  <w:rFonts w:ascii="Times New Roman" w:cs="Times New Roman" w:eastAsia="Times New Roman" w:hAnsi="Times New Roman"/>
                  <w:sz w:val="18"/>
                  <w:szCs w:val="18"/>
                  <w:color w:val="0000FF"/>
                  <w:w w:val="99"/>
                </w:rPr>
                <w:t>Fundamental Change Repurchase Right Notice, Notice of Right to Convert and Offer to Repurchase, dated January 15, 2021, to Holders</w:t>
              </w:r>
            </w:hyperlink>
          </w:p>
        </w:tc>
      </w:tr>
      <w:tr>
        <w:trPr>
          <w:trHeight w:val="183"/>
        </w:trPr>
        <w:tc>
          <w:tcPr>
            <w:tcW w:w="1400" w:type="dxa"/>
            <w:vAlign w:val="bottom"/>
          </w:tcPr>
          <w:p>
            <w:pPr>
              <w:spacing w:after="0"/>
              <w:rPr>
                <w:sz w:val="15"/>
                <w:szCs w:val="15"/>
                <w:color w:val="auto"/>
              </w:rPr>
            </w:pPr>
          </w:p>
        </w:tc>
        <w:tc>
          <w:tcPr>
            <w:tcW w:w="9820" w:type="dxa"/>
            <w:vAlign w:val="bottom"/>
            <w:tcBorders>
              <w:top w:val="single" w:sz="8" w:color="0000FF"/>
            </w:tcBorders>
            <w:gridSpan w:val="3"/>
          </w:tcPr>
          <w:p>
            <w:pPr>
              <w:spacing w:after="0" w:line="182" w:lineRule="exact"/>
              <w:rPr>
                <w:rFonts w:ascii="Times New Roman" w:cs="Times New Roman" w:eastAsia="Times New Roman" w:hAnsi="Times New Roman"/>
                <w:sz w:val="18"/>
                <w:szCs w:val="18"/>
                <w:color w:val="0000FF"/>
              </w:rPr>
            </w:pPr>
            <w:hyperlink r:id="rId8">
              <w:r>
                <w:rPr>
                  <w:rFonts w:ascii="Times New Roman" w:cs="Times New Roman" w:eastAsia="Times New Roman" w:hAnsi="Times New Roman"/>
                  <w:sz w:val="18"/>
                  <w:szCs w:val="18"/>
                  <w:color w:val="0000FF"/>
                </w:rPr>
                <w:t>of 2.75% Convertible Senior Notes due 2021 (incorporated by reference the Schedule TO filed by PDL BioPharma, Inc. with the</w:t>
              </w:r>
            </w:hyperlink>
          </w:p>
        </w:tc>
        <w:tc>
          <w:tcPr>
            <w:tcW w:w="20" w:type="dxa"/>
            <w:vAlign w:val="bottom"/>
          </w:tcPr>
          <w:p>
            <w:pPr>
              <w:spacing w:after="0"/>
              <w:rPr>
                <w:sz w:val="15"/>
                <w:szCs w:val="15"/>
                <w:color w:val="auto"/>
              </w:rPr>
            </w:pPr>
          </w:p>
        </w:tc>
      </w:tr>
      <w:tr>
        <w:trPr>
          <w:trHeight w:val="183"/>
        </w:trPr>
        <w:tc>
          <w:tcPr>
            <w:tcW w:w="1400" w:type="dxa"/>
            <w:vAlign w:val="bottom"/>
          </w:tcPr>
          <w:p>
            <w:pPr>
              <w:spacing w:after="0"/>
              <w:rPr>
                <w:sz w:val="15"/>
                <w:szCs w:val="15"/>
                <w:color w:val="auto"/>
              </w:rPr>
            </w:pPr>
          </w:p>
        </w:tc>
        <w:tc>
          <w:tcPr>
            <w:tcW w:w="9280" w:type="dxa"/>
            <w:vAlign w:val="bottom"/>
            <w:tcBorders>
              <w:top w:val="single" w:sz="8" w:color="0000FF"/>
            </w:tcBorders>
            <w:gridSpan w:val="2"/>
          </w:tcPr>
          <w:p>
            <w:pPr>
              <w:spacing w:after="0" w:line="182" w:lineRule="exact"/>
              <w:rPr>
                <w:rFonts w:ascii="Times New Roman" w:cs="Times New Roman" w:eastAsia="Times New Roman" w:hAnsi="Times New Roman"/>
                <w:sz w:val="18"/>
                <w:szCs w:val="18"/>
                <w:color w:val="0000FF"/>
              </w:rPr>
            </w:pPr>
            <w:hyperlink r:id="rId8">
              <w:r>
                <w:rPr>
                  <w:rFonts w:ascii="Times New Roman" w:cs="Times New Roman" w:eastAsia="Times New Roman" w:hAnsi="Times New Roman"/>
                  <w:sz w:val="18"/>
                  <w:szCs w:val="18"/>
                  <w:color w:val="0000FF"/>
                </w:rPr>
                <w:t xml:space="preserve">Securities and Exchange Commission on January 15, 2021) </w:t>
              </w:r>
              <w:r>
                <w:rPr>
                  <w:rFonts w:ascii="Times New Roman" w:cs="Times New Roman" w:eastAsia="Times New Roman" w:hAnsi="Times New Roman"/>
                  <w:sz w:val="18"/>
                  <w:szCs w:val="18"/>
                  <w:color w:val="000000"/>
                </w:rPr>
                <w:t>**</w:t>
              </w:r>
            </w:hyperlink>
          </w:p>
        </w:tc>
        <w:tc>
          <w:tcPr>
            <w:tcW w:w="560" w:type="dxa"/>
            <w:vAlign w:val="bottom"/>
            <w:gridSpan w:val="2"/>
          </w:tcPr>
          <w:p>
            <w:pPr>
              <w:spacing w:after="0"/>
              <w:rPr>
                <w:sz w:val="15"/>
                <w:szCs w:val="15"/>
                <w:color w:val="auto"/>
              </w:rPr>
            </w:pPr>
          </w:p>
        </w:tc>
      </w:tr>
      <w:tr>
        <w:trPr>
          <w:trHeight w:val="20"/>
        </w:trPr>
        <w:tc>
          <w:tcPr>
            <w:tcW w:w="1400" w:type="dxa"/>
            <w:vAlign w:val="bottom"/>
          </w:tcPr>
          <w:p>
            <w:pPr>
              <w:spacing w:after="0" w:line="20" w:lineRule="exact"/>
              <w:rPr>
                <w:sz w:val="1"/>
                <w:szCs w:val="1"/>
                <w:color w:val="auto"/>
              </w:rPr>
            </w:pPr>
          </w:p>
        </w:tc>
        <w:tc>
          <w:tcPr>
            <w:tcW w:w="4340" w:type="dxa"/>
            <w:vAlign w:val="bottom"/>
            <w:shd w:val="clear" w:color="auto" w:fill="0000FF"/>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400" w:hanging="1374"/>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11" w:lineRule="exact"/>
        <w:rPr>
          <w:rFonts w:ascii="Times New Roman" w:cs="Times New Roman" w:eastAsia="Times New Roman" w:hAnsi="Times New Roman"/>
          <w:sz w:val="18"/>
          <w:szCs w:val="18"/>
          <w:color w:val="auto"/>
        </w:rPr>
      </w:pPr>
    </w:p>
    <w:p>
      <w:pPr>
        <w:ind w:left="1400" w:hanging="1374"/>
        <w:spacing w:after="0"/>
        <w:tabs>
          <w:tab w:leader="none" w:pos="14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(d)(1)</w:t>
            </w:r>
          </w:p>
        </w:tc>
        <w:tc>
          <w:tcPr>
            <w:tcW w:w="9740" w:type="dxa"/>
            <w:vAlign w:val="bottom"/>
            <w:gridSpan w:val="6"/>
          </w:tcPr>
          <w:p>
            <w:pPr>
              <w:spacing w:after="0"/>
              <w:rPr>
                <w:rFonts w:ascii="Times New Roman" w:cs="Times New Roman" w:eastAsia="Times New Roman" w:hAnsi="Times New Roman"/>
                <w:sz w:val="18"/>
                <w:szCs w:val="18"/>
                <w:color w:val="0000FF"/>
                <w:w w:val="99"/>
              </w:rPr>
            </w:pPr>
            <w:hyperlink r:id="rId9">
              <w:r>
                <w:rPr>
                  <w:rFonts w:ascii="Times New Roman" w:cs="Times New Roman" w:eastAsia="Times New Roman" w:hAnsi="Times New Roman"/>
                  <w:sz w:val="18"/>
                  <w:szCs w:val="18"/>
                  <w:color w:val="0000FF"/>
                  <w:w w:val="99"/>
                </w:rPr>
                <w:t>Indenture, dated November 22, 2016, by and between PDL BioPharma, Inc. and The Bank of New York Mellon Trust Company, N.A.,</w:t>
              </w:r>
            </w:hyperlink>
          </w:p>
        </w:tc>
      </w:tr>
      <w:tr>
        <w:trPr>
          <w:trHeight w:val="183"/>
        </w:trPr>
        <w:tc>
          <w:tcPr>
            <w:tcW w:w="1380" w:type="dxa"/>
            <w:vAlign w:val="bottom"/>
          </w:tcPr>
          <w:p>
            <w:pPr>
              <w:spacing w:after="0"/>
              <w:rPr>
                <w:sz w:val="15"/>
                <w:szCs w:val="15"/>
                <w:color w:val="auto"/>
              </w:rPr>
            </w:pPr>
          </w:p>
        </w:tc>
        <w:tc>
          <w:tcPr>
            <w:tcW w:w="9700" w:type="dxa"/>
            <w:vAlign w:val="bottom"/>
            <w:tcBorders>
              <w:top w:val="single" w:sz="8" w:color="0000FF"/>
            </w:tcBorders>
            <w:gridSpan w:val="5"/>
          </w:tcPr>
          <w:p>
            <w:pPr>
              <w:spacing w:after="0" w:line="182" w:lineRule="exact"/>
              <w:rPr>
                <w:rFonts w:ascii="Times New Roman" w:cs="Times New Roman" w:eastAsia="Times New Roman" w:hAnsi="Times New Roman"/>
                <w:sz w:val="18"/>
                <w:szCs w:val="18"/>
                <w:color w:val="0000FF"/>
              </w:rPr>
            </w:pPr>
            <w:hyperlink r:id="rId9">
              <w:r>
                <w:rPr>
                  <w:rFonts w:ascii="Times New Roman" w:cs="Times New Roman" w:eastAsia="Times New Roman" w:hAnsi="Times New Roman"/>
                  <w:sz w:val="18"/>
                  <w:szCs w:val="18"/>
                  <w:color w:val="0000FF"/>
                </w:rPr>
                <w:t xml:space="preserve">as trustee (incorporated by reference to Exhibit 4.1 to Current Report on Form 8-K filed November 28, 2016) </w:t>
              </w:r>
              <w:r>
                <w:rPr>
                  <w:rFonts w:ascii="Times New Roman" w:cs="Times New Roman" w:eastAsia="Times New Roman" w:hAnsi="Times New Roman"/>
                  <w:sz w:val="18"/>
                  <w:szCs w:val="18"/>
                  <w:color w:val="000000"/>
                </w:rPr>
                <w:t>**</w:t>
              </w:r>
            </w:hyperlink>
          </w:p>
        </w:tc>
        <w:tc>
          <w:tcPr>
            <w:tcW w:w="40" w:type="dxa"/>
            <w:vAlign w:val="bottom"/>
          </w:tcPr>
          <w:p>
            <w:pPr>
              <w:spacing w:after="0"/>
              <w:rPr>
                <w:sz w:val="15"/>
                <w:szCs w:val="15"/>
                <w:color w:val="auto"/>
              </w:rPr>
            </w:pPr>
          </w:p>
        </w:tc>
      </w:tr>
      <w:tr>
        <w:trPr>
          <w:trHeight w:val="20"/>
        </w:trPr>
        <w:tc>
          <w:tcPr>
            <w:tcW w:w="138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34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398"/>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(d)(2)</w:t>
            </w:r>
          </w:p>
        </w:tc>
        <w:tc>
          <w:tcPr>
            <w:tcW w:w="9740" w:type="dxa"/>
            <w:vAlign w:val="bottom"/>
            <w:gridSpan w:val="6"/>
          </w:tcPr>
          <w:p>
            <w:pPr>
              <w:spacing w:after="0"/>
              <w:rPr>
                <w:rFonts w:ascii="Times New Roman" w:cs="Times New Roman" w:eastAsia="Times New Roman" w:hAnsi="Times New Roman"/>
                <w:sz w:val="18"/>
                <w:szCs w:val="18"/>
                <w:color w:val="0000FF"/>
              </w:rPr>
            </w:pPr>
            <w:hyperlink r:id="rId10">
              <w:r>
                <w:rPr>
                  <w:rFonts w:ascii="Times New Roman" w:cs="Times New Roman" w:eastAsia="Times New Roman" w:hAnsi="Times New Roman"/>
                  <w:sz w:val="18"/>
                  <w:szCs w:val="18"/>
                  <w:color w:val="0000FF"/>
                </w:rPr>
                <w:t>First Supplemental Indenture, dated November 22, 2016, by and between PDL BioPharma, Inc. and The Bank of New York Mellon</w:t>
              </w:r>
            </w:hyperlink>
          </w:p>
        </w:tc>
      </w:tr>
      <w:tr>
        <w:trPr>
          <w:trHeight w:val="228"/>
        </w:trPr>
        <w:tc>
          <w:tcPr>
            <w:tcW w:w="1380" w:type="dxa"/>
            <w:vAlign w:val="bottom"/>
          </w:tcPr>
          <w:p>
            <w:pPr>
              <w:spacing w:after="0"/>
              <w:rPr>
                <w:sz w:val="19"/>
                <w:szCs w:val="19"/>
                <w:color w:val="auto"/>
              </w:rPr>
            </w:pPr>
          </w:p>
        </w:tc>
        <w:tc>
          <w:tcPr>
            <w:tcW w:w="9480" w:type="dxa"/>
            <w:vAlign w:val="bottom"/>
            <w:tcBorders>
              <w:top w:val="single" w:sz="8" w:color="0000FF"/>
            </w:tcBorders>
            <w:gridSpan w:val="4"/>
          </w:tcPr>
          <w:p>
            <w:pPr>
              <w:spacing w:after="0"/>
              <w:rPr>
                <w:rFonts w:ascii="Times New Roman" w:cs="Times New Roman" w:eastAsia="Times New Roman" w:hAnsi="Times New Roman"/>
                <w:sz w:val="18"/>
                <w:szCs w:val="18"/>
                <w:u w:val="single" w:color="auto"/>
                <w:color w:val="0000FF"/>
                <w:w w:val="99"/>
              </w:rPr>
            </w:pPr>
            <w:hyperlink r:id="rId10">
              <w:r>
                <w:rPr>
                  <w:rFonts w:ascii="Times New Roman" w:cs="Times New Roman" w:eastAsia="Times New Roman" w:hAnsi="Times New Roman"/>
                  <w:sz w:val="18"/>
                  <w:szCs w:val="18"/>
                  <w:u w:val="single" w:color="auto"/>
                  <w:color w:val="0000FF"/>
                  <w:w w:val="99"/>
                </w:rPr>
                <w:t>Trust Company, N.A., as trustee (incorporated by reference to Exhibit 4.2 to Current Report on Form 8-K filed November 28, 2016)</w:t>
              </w:r>
            </w:hyperlink>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73"/>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(d)(3)</w:t>
            </w:r>
          </w:p>
        </w:tc>
        <w:tc>
          <w:tcPr>
            <w:tcW w:w="9740" w:type="dxa"/>
            <w:vAlign w:val="bottom"/>
            <w:gridSpan w:val="6"/>
          </w:tcPr>
          <w:p>
            <w:pPr>
              <w:spacing w:after="0"/>
              <w:rPr>
                <w:rFonts w:ascii="Times New Roman" w:cs="Times New Roman" w:eastAsia="Times New Roman" w:hAnsi="Times New Roman"/>
                <w:sz w:val="18"/>
                <w:szCs w:val="18"/>
                <w:color w:val="0000FF"/>
              </w:rPr>
            </w:pPr>
            <w:hyperlink r:id="rId10">
              <w:r>
                <w:rPr>
                  <w:rFonts w:ascii="Times New Roman" w:cs="Times New Roman" w:eastAsia="Times New Roman" w:hAnsi="Times New Roman"/>
                  <w:sz w:val="18"/>
                  <w:szCs w:val="18"/>
                  <w:color w:val="0000FF"/>
                </w:rPr>
                <w:t>Form of 2.75% Convertible Senior Notes due 2021 (incorporated by reference to Exhibit 4.2 to Current Report on Form 8-K filed</w:t>
              </w:r>
            </w:hyperlink>
          </w:p>
        </w:tc>
      </w:tr>
      <w:tr>
        <w:trPr>
          <w:trHeight w:val="183"/>
        </w:trPr>
        <w:tc>
          <w:tcPr>
            <w:tcW w:w="1380" w:type="dxa"/>
            <w:vAlign w:val="bottom"/>
          </w:tcPr>
          <w:p>
            <w:pPr>
              <w:spacing w:after="0"/>
              <w:rPr>
                <w:sz w:val="15"/>
                <w:szCs w:val="15"/>
                <w:color w:val="auto"/>
              </w:rPr>
            </w:pPr>
          </w:p>
        </w:tc>
        <w:tc>
          <w:tcPr>
            <w:tcW w:w="9340" w:type="dxa"/>
            <w:vAlign w:val="bottom"/>
            <w:tcBorders>
              <w:top w:val="single" w:sz="8" w:color="0000FF"/>
            </w:tcBorders>
            <w:gridSpan w:val="3"/>
          </w:tcPr>
          <w:p>
            <w:pPr>
              <w:spacing w:after="0" w:line="182" w:lineRule="exact"/>
              <w:rPr>
                <w:rFonts w:ascii="Times New Roman" w:cs="Times New Roman" w:eastAsia="Times New Roman" w:hAnsi="Times New Roman"/>
                <w:sz w:val="18"/>
                <w:szCs w:val="18"/>
                <w:color w:val="0000FF"/>
              </w:rPr>
            </w:pPr>
            <w:hyperlink r:id="rId10">
              <w:r>
                <w:rPr>
                  <w:rFonts w:ascii="Times New Roman" w:cs="Times New Roman" w:eastAsia="Times New Roman" w:hAnsi="Times New Roman"/>
                  <w:sz w:val="18"/>
                  <w:szCs w:val="18"/>
                  <w:color w:val="0000FF"/>
                </w:rPr>
                <w:t xml:space="preserve">November 28, 2016) </w:t>
              </w:r>
              <w:r>
                <w:rPr>
                  <w:rFonts w:ascii="Times New Roman" w:cs="Times New Roman" w:eastAsia="Times New Roman" w:hAnsi="Times New Roman"/>
                  <w:sz w:val="18"/>
                  <w:szCs w:val="18"/>
                  <w:color w:val="000000"/>
                </w:rPr>
                <w:t>**</w:t>
              </w:r>
            </w:hyperlink>
          </w:p>
        </w:tc>
        <w:tc>
          <w:tcPr>
            <w:tcW w:w="400" w:type="dxa"/>
            <w:vAlign w:val="bottom"/>
            <w:gridSpan w:val="3"/>
          </w:tcPr>
          <w:p>
            <w:pPr>
              <w:spacing w:after="0"/>
              <w:rPr>
                <w:sz w:val="15"/>
                <w:szCs w:val="15"/>
                <w:color w:val="auto"/>
              </w:rPr>
            </w:pPr>
          </w:p>
        </w:tc>
      </w:tr>
      <w:tr>
        <w:trPr>
          <w:trHeight w:val="20"/>
        </w:trPr>
        <w:tc>
          <w:tcPr>
            <w:tcW w:w="138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400" w:hanging="1374"/>
        <w:spacing w:after="0"/>
        <w:tabs>
          <w:tab w:leader="none" w:pos="14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11" w:lineRule="exact"/>
        <w:rPr>
          <w:rFonts w:ascii="Times New Roman" w:cs="Times New Roman" w:eastAsia="Times New Roman" w:hAnsi="Times New Roman"/>
          <w:sz w:val="18"/>
          <w:szCs w:val="18"/>
          <w:color w:val="auto"/>
        </w:rPr>
      </w:pPr>
    </w:p>
    <w:p>
      <w:pPr>
        <w:ind w:left="1400" w:hanging="1374"/>
        <w:spacing w:after="0"/>
        <w:tabs>
          <w:tab w:leader="none" w:pos="14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52"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ectPr>
          <w:pgSz w:w="11900" w:h="16838" w:orient="portrait"/>
          <w:cols w:equalWidth="0" w:num="1">
            <w:col w:w="11240"/>
          </w:cols>
          <w:pgMar w:left="320" w:top="1413" w:right="339" w:bottom="1440" w:gutter="0" w:footer="0" w:header="0"/>
        </w:sectPr>
      </w:pPr>
    </w:p>
    <w:bookmarkStart w:id="4" w:name="page5"/>
    <w:bookmarkEnd w:id="4"/>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19, 2021</w:t>
      </w:r>
    </w:p>
    <w:p>
      <w:pPr>
        <w:spacing w:after="0" w:line="2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PDL BIOPHARMA, INC.</w:t>
      </w:r>
    </w:p>
    <w:p>
      <w:pPr>
        <w:spacing w:after="0" w:line="171" w:lineRule="exact"/>
        <w:rPr>
          <w:sz w:val="20"/>
          <w:szCs w:val="20"/>
          <w:color w:val="auto"/>
        </w:rPr>
      </w:pPr>
    </w:p>
    <w:tbl>
      <w:tblPr>
        <w:tblLayout w:type="fixed"/>
        <w:tblInd w:w="524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Dominique Monnet</w:t>
            </w:r>
          </w:p>
        </w:tc>
      </w:tr>
      <w:tr>
        <w:trPr>
          <w:trHeight w:val="2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Dominique Monnet</w:t>
            </w: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0540"/>
      </w:cols>
      <w:pgMar w:left="320" w:top="1413"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lowerLetter"/>
      <w:start w:val="2"/>
    </w:lvl>
  </w:abstractNum>
  <w:abstractNum w:abstractNumId="7">
    <w:nsid w:val="7545E146"/>
    <w:multiLevelType w:val="hybridMultilevel"/>
    <w:lvl w:ilvl="0">
      <w:lvlJc w:val="left"/>
      <w:lvlText w:val="**"/>
      <w:numFmt w:val="bullet"/>
      <w:start w:val="1"/>
    </w:lvl>
    <w:lvl w:ilvl="1">
      <w:lvlJc w:val="left"/>
      <w:lvlText w:val="(%2)"/>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hyperlink" Target="http://www.sec.gov/Archives/edgar/data/882104/000088210421000009/exhibita1.htm" TargetMode="External"/><Relationship Id="rId9" Type="http://schemas.openxmlformats.org/officeDocument/2006/relationships/hyperlink" Target="http://www.sec.gov/Archives/edgar/data/882104/000088210416000239/a201611228-kcnex41.htm" TargetMode="External"/><Relationship Id="rId10" Type="http://schemas.openxmlformats.org/officeDocument/2006/relationships/hyperlink" Target="http://www.sec.gov/Archives/edgar/data/882104/000088210416000239/a201611228-kcn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2021-02-19T16:17:50Z</dcterms:created>
  <dcterms:modified xsi:type="dcterms:W3CDTF">2021-02-19T16:17:50Z</dcterms:modified>
</cp:coreProperties>
</file>