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PDL BioPharma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69329Y104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69329Y104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7,357,640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7,667,597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7,667,597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794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PDL BioPharma Inc</w:t>
      </w:r>
    </w:p>
    <w:p>
      <w:pPr>
        <w:spacing w:after="0" w:line="45" w:lineRule="exact"/>
        <w:rPr>
          <w:rFonts w:ascii="Times New Roman" w:cs="Times New Roman" w:eastAsia="Times New Roman" w:hAnsi="Times New Roman"/>
          <w:sz w:val="21"/>
          <w:szCs w:val="21"/>
          <w:b w:val="1"/>
          <w:bCs w:val="1"/>
          <w:color w:val="auto"/>
        </w:rPr>
      </w:pPr>
    </w:p>
    <w:p>
      <w:pPr>
        <w:jc w:val="both"/>
        <w:ind w:left="1320" w:right="54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932 Southwood Blvd, Incline Village, NV 89451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69329Y104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7,667,597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6.7%</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7,357,640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7,667,597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51" w:lineRule="auto"/>
        <w:rPr>
          <w:sz w:val="20"/>
          <w:szCs w:val="20"/>
          <w:color w:val="auto"/>
        </w:rPr>
      </w:pPr>
      <w:r>
        <w:rPr>
          <w:rFonts w:ascii="Times New Roman" w:cs="Times New Roman" w:eastAsia="Times New Roman" w:hAnsi="Times New Roman"/>
          <w:sz w:val="21"/>
          <w:szCs w:val="21"/>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Section&amp;nbsp;13(d) of the Securities Exchange Act of 1934.</w:t>
      </w:r>
    </w:p>
    <w:p>
      <w:pPr>
        <w:spacing w:after="0" w:line="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2021-02-12T14:24:47Z</dcterms:created>
  <dcterms:modified xsi:type="dcterms:W3CDTF">2021-02-12T14:24:47Z</dcterms:modified>
</cp:coreProperties>
</file>