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ind w:left="4320"/>
        <w:spacing w:after="0"/>
        <w:tabs>
          <w:tab w:leader="none" w:pos="6120" w:val="left"/>
          <w:tab w:leader="none" w:pos="670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3613785</wp:posOffset>
            </wp:positionH>
            <wp:positionV relativeFrom="paragraph">
              <wp:posOffset>-5080</wp:posOffset>
            </wp:positionV>
            <wp:extent cx="628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PDL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69329Y104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16510</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540" w:hanging="8"/>
        <w:spacing w:after="0" w:line="229" w:lineRule="exact"/>
        <w:tabs>
          <w:tab w:leader="none" w:pos="6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1745 (3-98)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Page 2 of 12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69329Y104</w:t>
            </w:r>
          </w:p>
        </w:tc>
        <w:tc>
          <w:tcPr>
            <w:tcW w:w="6180" w:type="dxa"/>
            <w:vAlign w:val="bottom"/>
          </w:tcPr>
          <w:p>
            <w:pPr>
              <w:spacing w:after="0"/>
              <w:rPr>
                <w:sz w:val="20"/>
                <w:szCs w:val="20"/>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r>
      <w:tr>
        <w:trPr>
          <w:trHeight w:val="259"/>
        </w:trPr>
        <w:tc>
          <w:tcPr>
            <w:tcW w:w="5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   Names of Reporting Persons.</w:t>
            </w:r>
          </w:p>
        </w:tc>
        <w:tc>
          <w:tcPr>
            <w:tcW w:w="618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Brandes Investment Partners, L.P.</w:t>
            </w:r>
          </w:p>
        </w:tc>
      </w:tr>
      <w:tr>
        <w:trPr>
          <w:trHeight w:val="216"/>
        </w:trPr>
        <w:tc>
          <w:tcPr>
            <w:tcW w:w="98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w:t>
            </w:r>
          </w:p>
        </w:tc>
        <w:tc>
          <w:tcPr>
            <w:tcW w:w="618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33-0704072</w:t>
            </w:r>
          </w:p>
        </w:tc>
      </w:tr>
      <w:tr>
        <w:trPr>
          <w:trHeight w:val="234"/>
        </w:trPr>
        <w:tc>
          <w:tcPr>
            <w:tcW w:w="98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only).</w:t>
            </w:r>
          </w:p>
        </w:tc>
        <w:tc>
          <w:tcPr>
            <w:tcW w:w="6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ind w:left="1140" w:hanging="366"/>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1" w:lineRule="exact"/>
        <w:rPr>
          <w:rFonts w:ascii="Times New Roman" w:cs="Times New Roman" w:eastAsia="Times New Roman" w:hAnsi="Times New Roman"/>
          <w:sz w:val="18"/>
          <w:szCs w:val="18"/>
          <w:color w:val="auto"/>
        </w:rPr>
      </w:pPr>
    </w:p>
    <w:p>
      <w:pPr>
        <w:ind w:left="1380" w:hanging="238"/>
        <w:spacing w:after="0" w:line="207" w:lineRule="exact"/>
        <w:tabs>
          <w:tab w:leader="none" w:pos="138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1400" w:hanging="258"/>
        <w:spacing w:after="0" w:line="207" w:lineRule="exact"/>
        <w:tabs>
          <w:tab w:leader="none" w:pos="14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40" w:hanging="366"/>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1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 Bene-</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ficially owned</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1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2,550,396</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Each</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0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18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28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8.</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7,046,701</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5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36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7,046,701</w:t>
            </w:r>
          </w:p>
        </w:tc>
        <w:tc>
          <w:tcPr>
            <w:tcW w:w="0" w:type="dxa"/>
            <w:vAlign w:val="bottom"/>
          </w:tcPr>
          <w:p>
            <w:pPr>
              <w:spacing w:after="0"/>
              <w:rPr>
                <w:sz w:val="1"/>
                <w:szCs w:val="1"/>
                <w:color w:val="auto"/>
              </w:rPr>
            </w:pPr>
          </w:p>
        </w:tc>
      </w:tr>
      <w:tr>
        <w:trPr>
          <w:trHeight w:val="414"/>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5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w:t>
            </w:r>
          </w:p>
        </w:tc>
        <w:tc>
          <w:tcPr>
            <w:tcW w:w="4360" w:type="dxa"/>
            <w:vAlign w:val="bottom"/>
          </w:tcPr>
          <w:p>
            <w:pPr>
              <w:jc w:val="right"/>
              <w:ind w:right="3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Instructions)</w:t>
            </w:r>
          </w:p>
        </w:tc>
        <w:tc>
          <w:tcPr>
            <w:tcW w:w="2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6.17 %</w:t>
            </w: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IA, PN</w:t>
            </w: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Page 3 of 12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69329Y104</w:t>
            </w:r>
          </w:p>
        </w:tc>
        <w:tc>
          <w:tcPr>
            <w:tcW w:w="6180" w:type="dxa"/>
            <w:vAlign w:val="bottom"/>
          </w:tcPr>
          <w:p>
            <w:pPr>
              <w:spacing w:after="0"/>
              <w:rPr>
                <w:sz w:val="20"/>
                <w:szCs w:val="20"/>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r>
      <w:tr>
        <w:trPr>
          <w:trHeight w:val="259"/>
        </w:trPr>
        <w:tc>
          <w:tcPr>
            <w:tcW w:w="5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   Names of Reporting Persons.</w:t>
            </w:r>
          </w:p>
        </w:tc>
        <w:tc>
          <w:tcPr>
            <w:tcW w:w="6180" w:type="dxa"/>
            <w:vAlign w:val="bottom"/>
          </w:tcPr>
          <w:p>
            <w:pPr>
              <w:jc w:val="right"/>
              <w:ind w:right="4850"/>
              <w:spacing w:after="0"/>
              <w:rPr>
                <w:sz w:val="20"/>
                <w:szCs w:val="20"/>
                <w:color w:val="auto"/>
              </w:rPr>
            </w:pPr>
            <w:r>
              <w:rPr>
                <w:rFonts w:ascii="Times New Roman" w:cs="Times New Roman" w:eastAsia="Times New Roman" w:hAnsi="Times New Roman"/>
                <w:sz w:val="18"/>
                <w:szCs w:val="18"/>
                <w:color w:val="auto"/>
              </w:rPr>
              <w:t>CO-GP, LLC.</w:t>
            </w:r>
          </w:p>
        </w:tc>
      </w:tr>
      <w:tr>
        <w:trPr>
          <w:trHeight w:val="216"/>
        </w:trPr>
        <w:tc>
          <w:tcPr>
            <w:tcW w:w="98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w:t>
            </w:r>
          </w:p>
        </w:tc>
        <w:tc>
          <w:tcPr>
            <w:tcW w:w="618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73-1677697</w:t>
            </w:r>
          </w:p>
        </w:tc>
      </w:tr>
      <w:tr>
        <w:trPr>
          <w:trHeight w:val="234"/>
        </w:trPr>
        <w:tc>
          <w:tcPr>
            <w:tcW w:w="98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only).</w:t>
            </w:r>
          </w:p>
        </w:tc>
        <w:tc>
          <w:tcPr>
            <w:tcW w:w="6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ind w:left="1140" w:hanging="36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1" w:lineRule="exact"/>
        <w:rPr>
          <w:rFonts w:ascii="Times New Roman" w:cs="Times New Roman" w:eastAsia="Times New Roman" w:hAnsi="Times New Roman"/>
          <w:sz w:val="18"/>
          <w:szCs w:val="18"/>
          <w:color w:val="auto"/>
        </w:rPr>
      </w:pPr>
    </w:p>
    <w:p>
      <w:pPr>
        <w:ind w:left="1380" w:hanging="238"/>
        <w:spacing w:after="0" w:line="207" w:lineRule="exact"/>
        <w:tabs>
          <w:tab w:leader="none" w:pos="13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1400" w:hanging="258"/>
        <w:spacing w:after="0" w:line="207" w:lineRule="exact"/>
        <w:tabs>
          <w:tab w:leader="none" w:pos="14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40" w:hanging="366"/>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California</w:t>
            </w:r>
          </w:p>
        </w:tc>
        <w:tc>
          <w:tcPr>
            <w:tcW w:w="4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 Bene-</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ficially owned</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2,550,396</w:t>
            </w: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Each</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0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28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8.</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7,046,701</w:t>
            </w: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7,046,701 shares are deemed to be beneficially owned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CO-GP, LLC as a control person of the investment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adviser. CO-GP, LLC disclaims any direct ownership</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of the shares reported in this Schedule 13G, except for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amount that is substantially less than one per cent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number of shares reported herein.</w:t>
            </w:r>
          </w:p>
        </w:tc>
        <w:tc>
          <w:tcPr>
            <w:tcW w:w="0" w:type="dxa"/>
            <w:vAlign w:val="bottom"/>
          </w:tcPr>
          <w:p>
            <w:pPr>
              <w:spacing w:after="0"/>
              <w:rPr>
                <w:sz w:val="1"/>
                <w:szCs w:val="1"/>
                <w:color w:val="auto"/>
              </w:rPr>
            </w:pPr>
          </w:p>
        </w:tc>
      </w:tr>
      <w:tr>
        <w:trPr>
          <w:trHeight w:val="414"/>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6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w:t>
            </w:r>
          </w:p>
        </w:tc>
        <w:tc>
          <w:tcPr>
            <w:tcW w:w="41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Instructions)</w:t>
            </w:r>
          </w:p>
        </w:tc>
        <w:tc>
          <w:tcPr>
            <w:tcW w:w="2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6.17 %</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 OO (Control Person)</w:t>
            </w: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 of 12</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69329Y104</w:t>
            </w:r>
          </w:p>
        </w:tc>
        <w:tc>
          <w:tcPr>
            <w:tcW w:w="6180" w:type="dxa"/>
            <w:vAlign w:val="bottom"/>
          </w:tcPr>
          <w:p>
            <w:pPr>
              <w:spacing w:after="0"/>
              <w:rPr>
                <w:sz w:val="20"/>
                <w:szCs w:val="20"/>
                <w:color w:val="auto"/>
              </w:rPr>
            </w:pPr>
          </w:p>
        </w:tc>
      </w:tr>
      <w:tr>
        <w:trPr>
          <w:trHeight w:val="243"/>
        </w:trPr>
        <w:tc>
          <w:tcPr>
            <w:tcW w:w="5060" w:type="dxa"/>
            <w:vAlign w:val="bottom"/>
            <w:tcBorders>
              <w:bottom w:val="single" w:sz="8" w:color="auto"/>
            </w:tcBorders>
            <w:gridSpan w:val="2"/>
          </w:tcPr>
          <w:p>
            <w:pPr>
              <w:spacing w:after="0"/>
              <w:rPr>
                <w:sz w:val="21"/>
                <w:szCs w:val="21"/>
                <w:color w:val="auto"/>
              </w:rPr>
            </w:pPr>
          </w:p>
        </w:tc>
        <w:tc>
          <w:tcPr>
            <w:tcW w:w="6180" w:type="dxa"/>
            <w:vAlign w:val="bottom"/>
            <w:tcBorders>
              <w:bottom w:val="single" w:sz="8" w:color="auto"/>
            </w:tcBorders>
          </w:tcPr>
          <w:p>
            <w:pPr>
              <w:spacing w:after="0"/>
              <w:rPr>
                <w:sz w:val="21"/>
                <w:szCs w:val="21"/>
                <w:color w:val="auto"/>
              </w:rPr>
            </w:pPr>
          </w:p>
        </w:tc>
      </w:tr>
      <w:tr>
        <w:trPr>
          <w:trHeight w:val="259"/>
        </w:trPr>
        <w:tc>
          <w:tcPr>
            <w:tcW w:w="5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   Names of Reporting Persons.</w:t>
            </w:r>
          </w:p>
        </w:tc>
        <w:tc>
          <w:tcPr>
            <w:tcW w:w="618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Brandes Worldwide Holdings, L.P.</w:t>
            </w:r>
          </w:p>
        </w:tc>
      </w:tr>
      <w:tr>
        <w:trPr>
          <w:trHeight w:val="216"/>
        </w:trPr>
        <w:tc>
          <w:tcPr>
            <w:tcW w:w="98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I.R.S. Identification Nos. of above persons (entities</w:t>
            </w:r>
          </w:p>
        </w:tc>
        <w:tc>
          <w:tcPr>
            <w:tcW w:w="6180" w:type="dxa"/>
            <w:vAlign w:val="bottom"/>
          </w:tcPr>
          <w:p>
            <w:pPr>
              <w:jc w:val="right"/>
              <w:ind w:right="3650"/>
              <w:spacing w:after="0"/>
              <w:rPr>
                <w:sz w:val="20"/>
                <w:szCs w:val="20"/>
                <w:color w:val="auto"/>
              </w:rPr>
            </w:pPr>
            <w:r>
              <w:rPr>
                <w:rFonts w:ascii="Times New Roman" w:cs="Times New Roman" w:eastAsia="Times New Roman" w:hAnsi="Times New Roman"/>
                <w:sz w:val="18"/>
                <w:szCs w:val="18"/>
                <w:color w:val="auto"/>
              </w:rPr>
              <w:t>33-0836630</w:t>
            </w:r>
          </w:p>
        </w:tc>
      </w:tr>
      <w:tr>
        <w:trPr>
          <w:trHeight w:val="234"/>
        </w:trPr>
        <w:tc>
          <w:tcPr>
            <w:tcW w:w="98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only).</w:t>
            </w:r>
          </w:p>
        </w:tc>
        <w:tc>
          <w:tcPr>
            <w:tcW w:w="6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0" w:lineRule="exact"/>
        <w:rPr>
          <w:sz w:val="20"/>
          <w:szCs w:val="20"/>
          <w:color w:val="auto"/>
        </w:rPr>
      </w:pPr>
    </w:p>
    <w:p>
      <w:pPr>
        <w:ind w:left="1140" w:hanging="36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1" w:lineRule="exact"/>
        <w:rPr>
          <w:rFonts w:ascii="Times New Roman" w:cs="Times New Roman" w:eastAsia="Times New Roman" w:hAnsi="Times New Roman"/>
          <w:sz w:val="18"/>
          <w:szCs w:val="18"/>
          <w:color w:val="auto"/>
        </w:rPr>
      </w:pPr>
    </w:p>
    <w:p>
      <w:pPr>
        <w:ind w:left="1380" w:hanging="238"/>
        <w:spacing w:after="0" w:line="207" w:lineRule="exact"/>
        <w:tabs>
          <w:tab w:leader="none" w:pos="138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1400" w:hanging="258"/>
        <w:spacing w:after="0" w:line="207" w:lineRule="exact"/>
        <w:tabs>
          <w:tab w:leader="none" w:pos="14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40" w:hanging="366"/>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 Bene-</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ficially owned</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2,550,396</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Each</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0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28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8.</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7,046,701</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6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7,046,701 shares are deemed to be beneficially owned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Brandes Worldwide Holdings, L.P., as a control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 of the investment adviser. Brandes Worldwide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Holdings, L.P. disclaims any direct ownership of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reported in this Schedule 13G.</w:t>
            </w:r>
          </w:p>
        </w:tc>
        <w:tc>
          <w:tcPr>
            <w:tcW w:w="0" w:type="dxa"/>
            <w:vAlign w:val="bottom"/>
          </w:tcPr>
          <w:p>
            <w:pPr>
              <w:spacing w:after="0"/>
              <w:rPr>
                <w:sz w:val="1"/>
                <w:szCs w:val="1"/>
                <w:color w:val="auto"/>
              </w:rPr>
            </w:pPr>
          </w:p>
        </w:tc>
      </w:tr>
      <w:tr>
        <w:trPr>
          <w:trHeight w:val="414"/>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6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w:t>
            </w:r>
          </w:p>
        </w:tc>
        <w:tc>
          <w:tcPr>
            <w:tcW w:w="4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Instructions)</w:t>
            </w:r>
          </w:p>
        </w:tc>
        <w:tc>
          <w:tcPr>
            <w:tcW w:w="2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6.17 %</w:t>
            </w: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PN, OO (Control Person)</w:t>
            </w: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5 of 12</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CUSIP No.</w:t>
            </w:r>
          </w:p>
        </w:tc>
        <w:tc>
          <w:tcPr>
            <w:tcW w:w="3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69329Y104</w:t>
            </w:r>
          </w:p>
        </w:tc>
        <w:tc>
          <w:tcPr>
            <w:tcW w:w="6960" w:type="dxa"/>
            <w:vAlign w:val="bottom"/>
          </w:tcPr>
          <w:p>
            <w:pPr>
              <w:spacing w:after="0"/>
              <w:rPr>
                <w:sz w:val="20"/>
                <w:szCs w:val="20"/>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spacing w:after="0"/>
              <w:rPr>
                <w:sz w:val="21"/>
                <w:szCs w:val="21"/>
                <w:color w:val="auto"/>
              </w:rPr>
            </w:pPr>
          </w:p>
        </w:tc>
        <w:tc>
          <w:tcPr>
            <w:tcW w:w="6960" w:type="dxa"/>
            <w:vAlign w:val="bottom"/>
            <w:tcBorders>
              <w:bottom w:val="single" w:sz="8" w:color="auto"/>
            </w:tcBorders>
          </w:tcPr>
          <w:p>
            <w:pPr>
              <w:spacing w:after="0"/>
              <w:rPr>
                <w:sz w:val="21"/>
                <w:szCs w:val="21"/>
                <w:color w:val="auto"/>
              </w:rPr>
            </w:pPr>
          </w:p>
        </w:tc>
      </w:tr>
      <w:tr>
        <w:trPr>
          <w:trHeight w:val="259"/>
        </w:trPr>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69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Glenn Carlson</w:t>
            </w:r>
          </w:p>
        </w:tc>
      </w:tr>
      <w:tr>
        <w:trPr>
          <w:trHeight w:val="234"/>
        </w:trPr>
        <w:tc>
          <w:tcPr>
            <w:tcW w:w="1020" w:type="dxa"/>
            <w:vAlign w:val="bottom"/>
          </w:tcPr>
          <w:p>
            <w:pPr>
              <w:spacing w:after="0"/>
              <w:rPr>
                <w:sz w:val="20"/>
                <w:szCs w:val="20"/>
                <w:color w:val="auto"/>
              </w:rPr>
            </w:pPr>
          </w:p>
        </w:tc>
        <w:tc>
          <w:tcPr>
            <w:tcW w:w="10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ind w:left="1140" w:hanging="36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1" w:lineRule="exact"/>
        <w:rPr>
          <w:rFonts w:ascii="Times New Roman" w:cs="Times New Roman" w:eastAsia="Times New Roman" w:hAnsi="Times New Roman"/>
          <w:sz w:val="18"/>
          <w:szCs w:val="18"/>
          <w:color w:val="auto"/>
        </w:rPr>
      </w:pPr>
    </w:p>
    <w:p>
      <w:pPr>
        <w:ind w:left="1380" w:hanging="238"/>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1400" w:hanging="258"/>
        <w:spacing w:after="0" w:line="207" w:lineRule="exact"/>
        <w:tabs>
          <w:tab w:leader="none" w:pos="14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40" w:hanging="366"/>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USA</w:t>
            </w:r>
          </w:p>
        </w:tc>
        <w:tc>
          <w:tcPr>
            <w:tcW w:w="4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20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 Bene-</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ficially owned</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2,550,396</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Each</w:t>
            </w:r>
          </w:p>
        </w:tc>
        <w:tc>
          <w:tcPr>
            <w:tcW w:w="6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00" w:type="dxa"/>
            <w:vAlign w:val="bottom"/>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28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8.</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7,046,701</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5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7,046,701 shares are deemed to be beneficially owned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Glenn Carlson, a control person of the investment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adviser. Mr. Carlson disclaims any direct ownership</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shares reported in Schedule 13G, except for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 that is substantially less than one per cent of</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number of shares reported herein.</w:t>
            </w:r>
          </w:p>
        </w:tc>
        <w:tc>
          <w:tcPr>
            <w:tcW w:w="0" w:type="dxa"/>
            <w:vAlign w:val="bottom"/>
          </w:tcPr>
          <w:p>
            <w:pPr>
              <w:spacing w:after="0"/>
              <w:rPr>
                <w:sz w:val="1"/>
                <w:szCs w:val="1"/>
                <w:color w:val="auto"/>
              </w:rPr>
            </w:pPr>
          </w:p>
        </w:tc>
      </w:tr>
      <w:tr>
        <w:trPr>
          <w:trHeight w:val="414"/>
        </w:trPr>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5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w:t>
            </w:r>
          </w:p>
        </w:tc>
        <w:tc>
          <w:tcPr>
            <w:tcW w:w="41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Instructions)</w:t>
            </w:r>
          </w:p>
        </w:tc>
        <w:tc>
          <w:tcPr>
            <w:tcW w:w="2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6.17 %</w:t>
            </w: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3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OO (Control Person)</w:t>
            </w: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6 of 12</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Name of Issuer: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PDL BioPharma, Inc.</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932 Southwood Blvd.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Incline Village, NV 89451</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5" w:lineRule="exact"/>
        <w:rPr>
          <w:sz w:val="20"/>
          <w:szCs w:val="20"/>
          <w:color w:val="auto"/>
        </w:rPr>
      </w:pPr>
    </w:p>
    <w:p>
      <w:pPr>
        <w:ind w:left="1500" w:hanging="520"/>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Brandes Investment Partners, L.P.</w:t>
      </w:r>
    </w:p>
    <w:p>
      <w:pPr>
        <w:spacing w:after="0" w:line="27"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CO-GP, LLC</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Brandes Worldwide Holdings, L.P.</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Glenn Carlson</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225" w:lineRule="exact"/>
        <w:rPr>
          <w:sz w:val="20"/>
          <w:szCs w:val="20"/>
          <w:color w:val="auto"/>
        </w:rPr>
      </w:pPr>
    </w:p>
    <w:p>
      <w:pPr>
        <w:ind w:left="1500" w:hanging="520"/>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11988 El Camino Real, Suite 600, San Diego, CA 92130</w:t>
      </w:r>
    </w:p>
    <w:p>
      <w:pPr>
        <w:spacing w:after="0" w:line="27"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11988 El Camino Real, Suite 600, San Diego, CA 92130</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11988 El Camino Real, Suite 600, San Diego, CA 92130</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11988 El Camino Real, Suite 600, San Diego, CA 92130</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7"/>
          <w:szCs w:val="17"/>
          <w:color w:val="auto"/>
        </w:rPr>
        <w:t>Citizenship</w:t>
      </w:r>
    </w:p>
    <w:p>
      <w:pPr>
        <w:spacing w:after="0" w:line="225" w:lineRule="exact"/>
        <w:rPr>
          <w:sz w:val="20"/>
          <w:szCs w:val="20"/>
          <w:color w:val="auto"/>
        </w:rPr>
      </w:pPr>
    </w:p>
    <w:p>
      <w:pPr>
        <w:ind w:left="1500" w:hanging="520"/>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Shares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69329Y104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12</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 240.13d-1(b), or 240.13d-2(b) or (c), check whether the person filing is a:</w:t>
      </w:r>
    </w:p>
    <w:p>
      <w:pPr>
        <w:spacing w:after="0" w:line="196" w:lineRule="exact"/>
        <w:rPr>
          <w:sz w:val="20"/>
          <w:szCs w:val="20"/>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(15 U.S.C. 80a-8).</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 240.13d-1(b)(ii)(F).</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000" w:right="740" w:hanging="1020"/>
        <w:spacing w:after="0" w:line="215" w:lineRule="exact"/>
        <w:tabs>
          <w:tab w:leader="none" w:pos="1487"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1500" w:hanging="520"/>
        <w:spacing w:after="0" w:line="207" w:lineRule="exact"/>
        <w:tabs>
          <w:tab w:leader="none" w:pos="150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240.13d-1(b)(1)(ii)(J).</w:t>
      </w:r>
    </w:p>
    <w:p>
      <w:pPr>
        <w:spacing w:after="0" w:line="207"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500" w:hanging="520"/>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u w:val="single" w:color="auto"/>
          <w:color w:val="auto"/>
        </w:rPr>
        <w:t>7,046,701</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u w:val="single" w:color="auto"/>
          <w:color w:val="auto"/>
        </w:rPr>
        <w:t>6.17 %</w:t>
      </w:r>
    </w:p>
    <w:p>
      <w:pPr>
        <w:spacing w:after="0" w:line="22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joint filers have:</w:t>
      </w:r>
    </w:p>
    <w:p>
      <w:pPr>
        <w:spacing w:after="0" w:line="225"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r>
      <w:tr>
        <w:trPr>
          <w:trHeight w:val="38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2,550,396</w:t>
            </w:r>
          </w:p>
        </w:tc>
      </w:tr>
      <w:tr>
        <w:trPr>
          <w:trHeight w:val="45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r>
      <w:tr>
        <w:trPr>
          <w:trHeight w:val="38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7,046,701</w:t>
            </w:r>
          </w:p>
        </w:tc>
      </w:tr>
    </w:tbl>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980"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N/A</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 xml:space="preserve">Ownership of More than Five Percent on Behalf of Another Person. </w:t>
      </w: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8 of 12</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See Exhibit A</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500" w:hanging="520"/>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 240.13d-1(b):</w:t>
      </w:r>
    </w:p>
    <w:p>
      <w:pPr>
        <w:spacing w:after="0" w:line="225" w:lineRule="exact"/>
        <w:rPr>
          <w:rFonts w:ascii="Times New Roman" w:cs="Times New Roman" w:eastAsia="Times New Roman" w:hAnsi="Times New Roman"/>
          <w:sz w:val="18"/>
          <w:szCs w:val="18"/>
          <w:color w:val="auto"/>
        </w:rPr>
      </w:pPr>
    </w:p>
    <w:p>
      <w:pPr>
        <w:ind w:left="15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BRANDES INVESTMENT PARTNERS,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Rose as Attorney-In-Fact for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General Partner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Rose as Attorney-In-Fact for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BRANDES WORLDWIDE HOLDINGS,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Rose as Attorney-In-Fact for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of Co-GP,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Rose as Attorney-In-Fact for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9 of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Identification and Classification of Members of the Group</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Rule 13d-1(b)(ii)(J) and Rule 13d-1(k)(1) under the Securities and Exchange Act of 1934, the members of the group making this joint filing are identified and classified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6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Classification</w:t>
            </w:r>
          </w:p>
        </w:tc>
      </w:tr>
      <w:tr>
        <w:trPr>
          <w:trHeight w:val="20"/>
        </w:trPr>
        <w:tc>
          <w:tcPr>
            <w:tcW w:w="1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Brandes Investment Partners, L.P. (the “Investment</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Investment adviser registered under Investment Advisers</w:t>
            </w: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Adviser”)</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Act of 1940</w:t>
            </w:r>
          </w:p>
        </w:tc>
      </w:tr>
      <w:tr>
        <w:trPr>
          <w:trHeight w:val="432"/>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Co-GP, LLC</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control person of the Investment Adviser</w:t>
            </w:r>
          </w:p>
        </w:tc>
      </w:tr>
      <w:tr>
        <w:trPr>
          <w:trHeight w:val="432"/>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Brandes Worldwide Holdings, L.P.</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control person of the Investment Adviser</w:t>
            </w:r>
          </w:p>
        </w:tc>
      </w:tr>
      <w:tr>
        <w:trPr>
          <w:trHeight w:val="432"/>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Carlson</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control person of the Investment Adviser</w:t>
            </w:r>
          </w:p>
        </w:tc>
      </w:tr>
      <w:tr>
        <w:trPr>
          <w:trHeight w:val="675"/>
        </w:trPr>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Page 10 of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b w:val="1"/>
          <w:bCs w:val="1"/>
          <w:u w:val="single" w:color="auto"/>
          <w:color w:val="auto"/>
        </w:rPr>
        <w:t>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 Pursuant to Rule 13d-1</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8,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BRANDES INVESTMENT PARTNERS,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/s/Glenn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General Partner of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Co-GP,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/s/Glenn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Glenn Carlson,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Page 11 of 12</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for Schedules 13D, 13G and Form 13F</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 Glenn Carlson, as member of Co-GP of LLC., which is a General Partner of Brandes Worldwide Holdings, L.P., and which is also the limited partner of Brandes Investment Partners, L.P., hereby appoint Ian N. Rose as attorney-in-fact and agent, in all capacities, to execute, on my behalf and on behalf of Co-GP LLC., Brandes Investment Partners, L.P., and Brandes Worldwide Holdings, L.P., to file with the appropriate issuers, exchanges and regulatory authorities, any and all Schedules 13D, 13G and Form 13F and documents relating thereto required to be filed under the Securities and Exchange Act of 1934, including exhibits, attachments and amendments thereto and request for confidential treatment of information contained therein in connection with my being a “control person” (as contemplated for purposes of Schedule 13D, 13G and Form 13F) of Brandes Investment Partners, L.P., its subsidiaries and affiliates. I hereby grant to said attorneys-in-fact full authority to do every act necessary to be done in order to effectuate the same as fully, to all intents and purposes, as I could if personally present, thereby ratifying all that said attorneys-in-fact and agents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execute this Power of Attorney as of this 8th day of February 2021.</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/s/Glenn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Glenn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Page 12 of 12</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Disclaimer of Beneficial Ownership</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Co-GP, LLC, Brandes Worldwide Holdings, L.P., Glenn Carlson, and Jeff Busby disclaim beneficial interest as to the shares referenced above, except for an amount equal to substantially less than one percent of the shares reported on this Schedule 13D. None of these entities or individuals holds the above-referenced shares for its/his own account except on a de minimis basis.</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/s/Glenn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Glenn Carlson</w:t>
      </w:r>
    </w:p>
    <w:p>
      <w:pPr>
        <w:spacing w:after="0" w:line="2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/s/Jeff Busby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Jeff Busby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2"/>
    </w:lvl>
    <w:lvl w:ilvl="1">
      <w:lvlJc w:val="left"/>
      <w:lvlText w:val="(%2)"/>
      <w:numFmt w:val="lowerLetter"/>
      <w:start w:val="1"/>
    </w:lvl>
  </w:abstractNum>
  <w:abstractNum w:abstractNumId="2">
    <w:nsid w:val="41B71EFB"/>
    <w:multiLevelType w:val="hybridMultilevel"/>
    <w:lvl w:ilvl="0">
      <w:lvlJc w:val="left"/>
      <w:lvlText w:val="%1."/>
      <w:numFmt w:val="decimal"/>
      <w:start w:val="2"/>
    </w:lvl>
    <w:lvl w:ilvl="1">
      <w:lvlJc w:val="left"/>
      <w:lvlText w:val="(%2)"/>
      <w:numFmt w:val="lowerLetter"/>
      <w:start w:val="1"/>
    </w:lvl>
  </w:abstractNum>
  <w:abstractNum w:abstractNumId="3">
    <w:nsid w:val="79E2A9E3"/>
    <w:multiLevelType w:val="hybridMultilevel"/>
    <w:lvl w:ilvl="0">
      <w:lvlJc w:val="left"/>
      <w:lvlText w:val="%1."/>
      <w:numFmt w:val="decimal"/>
      <w:start w:val="2"/>
    </w:lvl>
    <w:lvl w:ilvl="1">
      <w:lvlJc w:val="left"/>
      <w:lvlText w:val="(%2)"/>
      <w:numFmt w:val="lowerLetter"/>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2021-02-11T15:24:58Z</dcterms:created>
  <dcterms:modified xsi:type="dcterms:W3CDTF">2021-02-11T15:24:58Z</dcterms:modified>
</cp:coreProperties>
</file>