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121" w:lineRule="exact"/>
        <w:rPr>
          <w:sz w:val="24"/>
          <w:szCs w:val="24"/>
          <w:color w:val="auto"/>
        </w:rPr>
      </w:pPr>
    </w:p>
    <w:p>
      <w:pPr>
        <w:ind w:left="580" w:hanging="363"/>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 the fiscal year ended December 31, 2020</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07" w:lineRule="exact"/>
        <w:rPr>
          <w:sz w:val="24"/>
          <w:szCs w:val="24"/>
          <w:color w:val="auto"/>
        </w:rPr>
      </w:pPr>
    </w:p>
    <w:p>
      <w:pPr>
        <w:ind w:left="580" w:hanging="363"/>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4" w:lineRule="exact"/>
        <w:rPr>
          <w:sz w:val="24"/>
          <w:szCs w:val="24"/>
          <w:color w:val="auto"/>
        </w:rPr>
      </w:pPr>
    </w:p>
    <w:p>
      <w:pPr>
        <w:ind w:left="580"/>
        <w:spacing w:after="0"/>
        <w:tabs>
          <w:tab w:leader="none" w:pos="278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1"/>
          <w:szCs w:val="11"/>
          <w:color w:val="auto"/>
        </w:rPr>
        <w:t>to</w:t>
      </w:r>
    </w:p>
    <w:p>
      <w:pPr>
        <w:spacing w:after="0" w:line="16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Commission File Number: 000-19756</w:t>
      </w:r>
    </w:p>
    <w:p>
      <w:pPr>
        <w:spacing w:after="0" w:line="13" w:lineRule="exact"/>
        <w:rPr>
          <w:sz w:val="24"/>
          <w:szCs w:val="24"/>
          <w:color w:val="auto"/>
        </w:rPr>
      </w:pPr>
    </w:p>
    <w:p>
      <w:pPr>
        <w:ind w:left="4080"/>
        <w:spacing w:after="0"/>
        <w:rPr>
          <w:sz w:val="20"/>
          <w:szCs w:val="20"/>
          <w:color w:val="auto"/>
        </w:rPr>
      </w:pPr>
      <w:r>
        <w:rPr>
          <w:rFonts w:ascii="Arial" w:cs="Arial" w:eastAsia="Arial" w:hAnsi="Arial"/>
          <w:sz w:val="14"/>
          <w:szCs w:val="14"/>
          <w:color w:val="auto"/>
        </w:rPr>
        <w:t>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5080</wp:posOffset>
            </wp:positionV>
            <wp:extent cx="1311275"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PDL BioPharma,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4080"/>
        <w:spacing w:after="0"/>
        <w:rPr>
          <w:sz w:val="20"/>
          <w:szCs w:val="20"/>
          <w:color w:val="auto"/>
        </w:rPr>
      </w:pPr>
      <w:r>
        <w:rPr>
          <w:rFonts w:ascii="Arial" w:cs="Arial" w:eastAsia="Arial" w:hAnsi="Arial"/>
          <w:sz w:val="14"/>
          <w:szCs w:val="14"/>
          <w:color w:val="auto"/>
        </w:rPr>
        <w:t>___________________________________________</w:t>
      </w:r>
    </w:p>
    <w:p>
      <w:pPr>
        <w:spacing w:after="0" w:line="120" w:lineRule="exact"/>
        <w:rPr>
          <w:sz w:val="24"/>
          <w:szCs w:val="24"/>
          <w:color w:val="auto"/>
        </w:rPr>
      </w:pPr>
    </w:p>
    <w:tbl>
      <w:tblPr>
        <w:tblLayout w:type="fixed"/>
        <w:tblInd w:w="96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gridSpan w:val="3"/>
          </w:tcPr>
          <w:p>
            <w:pPr>
              <w:jc w:val="center"/>
              <w:ind w:right="4080"/>
              <w:spacing w:after="0"/>
              <w:rPr>
                <w:sz w:val="20"/>
                <w:szCs w:val="20"/>
                <w:color w:val="auto"/>
              </w:rPr>
            </w:pPr>
            <w:r>
              <w:rPr>
                <w:rFonts w:ascii="Arial" w:cs="Arial" w:eastAsia="Arial" w:hAnsi="Arial"/>
                <w:sz w:val="14"/>
                <w:szCs w:val="14"/>
                <w:b w:val="1"/>
                <w:bCs w:val="1"/>
                <w:color w:val="auto"/>
                <w:w w:val="94"/>
              </w:rPr>
              <w:t>Delaware</w:t>
            </w:r>
          </w:p>
        </w:tc>
        <w:tc>
          <w:tcPr>
            <w:tcW w:w="3280" w:type="dxa"/>
            <w:vAlign w:val="bottom"/>
            <w:gridSpan w:val="2"/>
          </w:tcPr>
          <w:p>
            <w:pPr>
              <w:jc w:val="right"/>
              <w:ind w:right="1728"/>
              <w:spacing w:after="0"/>
              <w:rPr>
                <w:sz w:val="20"/>
                <w:szCs w:val="20"/>
                <w:color w:val="auto"/>
              </w:rPr>
            </w:pPr>
            <w:r>
              <w:rPr>
                <w:rFonts w:ascii="Arial" w:cs="Arial" w:eastAsia="Arial" w:hAnsi="Arial"/>
                <w:sz w:val="14"/>
                <w:szCs w:val="14"/>
                <w:b w:val="1"/>
                <w:bCs w:val="1"/>
                <w:color w:val="auto"/>
              </w:rPr>
              <w:t>94-3023969</w:t>
            </w:r>
          </w:p>
        </w:tc>
      </w:tr>
      <w:tr>
        <w:trPr>
          <w:trHeight w:val="189"/>
        </w:trPr>
        <w:tc>
          <w:tcPr>
            <w:tcW w:w="6340" w:type="dxa"/>
            <w:vAlign w:val="bottom"/>
            <w:gridSpan w:val="6"/>
          </w:tcPr>
          <w:p>
            <w:pPr>
              <w:jc w:val="center"/>
              <w:ind w:right="26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280" w:type="dxa"/>
            <w:vAlign w:val="bottom"/>
            <w:gridSpan w:val="2"/>
          </w:tcPr>
          <w:p>
            <w:pPr>
              <w:jc w:val="center"/>
              <w:ind w:right="92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46"/>
        </w:trPr>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900" w:type="dxa"/>
            <w:vAlign w:val="bottom"/>
            <w:gridSpan w:val="3"/>
          </w:tcPr>
          <w:p>
            <w:pPr>
              <w:jc w:val="center"/>
              <w:ind w:left="1488"/>
              <w:spacing w:after="0"/>
              <w:rPr>
                <w:sz w:val="20"/>
                <w:szCs w:val="20"/>
                <w:color w:val="auto"/>
              </w:rPr>
            </w:pPr>
            <w:r>
              <w:rPr>
                <w:rFonts w:ascii="Arial" w:cs="Arial" w:eastAsia="Arial" w:hAnsi="Arial"/>
                <w:sz w:val="14"/>
                <w:szCs w:val="14"/>
                <w:b w:val="1"/>
                <w:bCs w:val="1"/>
                <w:color w:val="auto"/>
                <w:w w:val="93"/>
              </w:rPr>
              <w:t>59 Damonte Ranch Parkway, Suite B-375</w:t>
            </w:r>
          </w:p>
        </w:tc>
        <w:tc>
          <w:tcPr>
            <w:tcW w:w="84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162"/>
        </w:trPr>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gridSpan w:val="3"/>
          </w:tcPr>
          <w:p>
            <w:pPr>
              <w:jc w:val="center"/>
              <w:ind w:left="1468"/>
              <w:spacing w:after="0"/>
              <w:rPr>
                <w:sz w:val="20"/>
                <w:szCs w:val="20"/>
                <w:color w:val="auto"/>
              </w:rPr>
            </w:pPr>
            <w:r>
              <w:rPr>
                <w:rFonts w:ascii="Arial" w:cs="Arial" w:eastAsia="Arial" w:hAnsi="Arial"/>
                <w:sz w:val="14"/>
                <w:szCs w:val="14"/>
                <w:b w:val="1"/>
                <w:bCs w:val="1"/>
                <w:color w:val="auto"/>
                <w:w w:val="91"/>
              </w:rPr>
              <w:t>Reno, Nevada 89521</w:t>
            </w: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86"/>
        </w:trPr>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gridSpan w:val="3"/>
          </w:tcPr>
          <w:p>
            <w:pPr>
              <w:jc w:val="center"/>
              <w:ind w:left="14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300"/>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3"/>
          </w:tcPr>
          <w:p>
            <w:pPr>
              <w:jc w:val="center"/>
              <w:ind w:left="146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86"/>
        </w:trPr>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2"/>
          </w:tcPr>
          <w:p>
            <w:pPr>
              <w:jc w:val="right"/>
              <w:spacing w:after="0"/>
              <w:rPr>
                <w:sz w:val="20"/>
                <w:szCs w:val="20"/>
                <w:color w:val="auto"/>
              </w:rPr>
            </w:pPr>
            <w:r>
              <w:rPr>
                <w:rFonts w:ascii="Arial" w:cs="Arial" w:eastAsia="Arial" w:hAnsi="Arial"/>
                <w:sz w:val="14"/>
                <w:szCs w:val="14"/>
                <w:b w:val="1"/>
                <w:bCs w:val="1"/>
                <w:color w:val="auto"/>
              </w:rPr>
              <w:t>(775) 832-8500</w:t>
            </w: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381"/>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3"/>
          </w:tcPr>
          <w:p>
            <w:pPr>
              <w:jc w:val="center"/>
              <w:ind w:left="1488"/>
              <w:spacing w:after="0"/>
              <w:rPr>
                <w:sz w:val="20"/>
                <w:szCs w:val="20"/>
                <w:color w:val="auto"/>
              </w:rPr>
            </w:pPr>
            <w:r>
              <w:rPr>
                <w:rFonts w:ascii="Arial" w:cs="Arial" w:eastAsia="Arial" w:hAnsi="Arial"/>
                <w:sz w:val="14"/>
                <w:szCs w:val="14"/>
                <w:b w:val="1"/>
                <w:bCs w:val="1"/>
                <w:color w:val="auto"/>
                <w:w w:val="92"/>
              </w:rPr>
              <w:t>932 Southwood Boulevard</w:t>
            </w: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62"/>
        </w:trPr>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gridSpan w:val="3"/>
          </w:tcPr>
          <w:p>
            <w:pPr>
              <w:jc w:val="center"/>
              <w:ind w:left="1488"/>
              <w:spacing w:after="0"/>
              <w:rPr>
                <w:sz w:val="20"/>
                <w:szCs w:val="20"/>
                <w:color w:val="auto"/>
              </w:rPr>
            </w:pPr>
            <w:r>
              <w:rPr>
                <w:rFonts w:ascii="Arial" w:cs="Arial" w:eastAsia="Arial" w:hAnsi="Arial"/>
                <w:sz w:val="14"/>
                <w:szCs w:val="14"/>
                <w:b w:val="1"/>
                <w:bCs w:val="1"/>
                <w:color w:val="auto"/>
                <w:w w:val="93"/>
              </w:rPr>
              <w:t>Incline Village, Nevada 89451</w:t>
            </w: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6"/>
        </w:trPr>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gridSpan w:val="3"/>
          </w:tcPr>
          <w:p>
            <w:pPr>
              <w:jc w:val="center"/>
              <w:ind w:left="1488"/>
              <w:spacing w:after="0"/>
              <w:rPr>
                <w:sz w:val="20"/>
                <w:szCs w:val="20"/>
                <w:color w:val="auto"/>
              </w:rPr>
            </w:pPr>
            <w:r>
              <w:rPr>
                <w:rFonts w:ascii="Arial" w:cs="Arial" w:eastAsia="Arial" w:hAnsi="Arial"/>
                <w:sz w:val="14"/>
                <w:szCs w:val="14"/>
                <w:b w:val="1"/>
                <w:bCs w:val="1"/>
                <w:color w:val="auto"/>
                <w:w w:val="93"/>
              </w:rPr>
              <w:t>(Former Address)</w:t>
            </w: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gridSpan w:val="3"/>
          </w:tcPr>
          <w:p>
            <w:pPr>
              <w:jc w:val="right"/>
              <w:ind w:right="120"/>
              <w:spacing w:after="0"/>
              <w:rPr>
                <w:sz w:val="20"/>
                <w:szCs w:val="20"/>
                <w:color w:val="auto"/>
              </w:rPr>
            </w:pPr>
            <w:r>
              <w:rPr>
                <w:rFonts w:ascii="Arial" w:cs="Arial" w:eastAsia="Arial" w:hAnsi="Arial"/>
                <w:sz w:val="14"/>
                <w:szCs w:val="14"/>
                <w:color w:val="auto"/>
              </w:rPr>
              <w:t>___________________________________________</w:t>
            </w:r>
          </w:p>
        </w:tc>
        <w:tc>
          <w:tcPr>
            <w:tcW w:w="84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82"/>
        </w:trPr>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00" w:type="dxa"/>
            <w:vAlign w:val="bottom"/>
            <w:gridSpan w:val="3"/>
          </w:tcPr>
          <w:p>
            <w:pPr>
              <w:jc w:val="center"/>
              <w:ind w:left="146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95"/>
        </w:trPr>
        <w:tc>
          <w:tcPr>
            <w:tcW w:w="5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Title of Class</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2"/>
              </w:rPr>
              <w:t>Trading Symbol</w:t>
            </w:r>
          </w:p>
        </w:tc>
        <w:tc>
          <w:tcPr>
            <w:tcW w:w="3280" w:type="dxa"/>
            <w:vAlign w:val="bottom"/>
            <w:gridSpan w:val="2"/>
          </w:tcPr>
          <w:p>
            <w:pPr>
              <w:jc w:val="center"/>
              <w:ind w:left="768"/>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198"/>
        </w:trPr>
        <w:tc>
          <w:tcPr>
            <w:tcW w:w="500" w:type="dxa"/>
            <w:vAlign w:val="bottom"/>
          </w:tcPr>
          <w:p>
            <w:pPr>
              <w:spacing w:after="0"/>
              <w:rPr>
                <w:sz w:val="17"/>
                <w:szCs w:val="17"/>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None</w:t>
            </w: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N/A</w:t>
            </w: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N/A</w:t>
            </w:r>
          </w:p>
        </w:tc>
      </w:tr>
    </w:tbl>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7" w:lineRule="exact"/>
        <w:rPr>
          <w:sz w:val="24"/>
          <w:szCs w:val="24"/>
          <w:color w:val="auto"/>
        </w:rPr>
      </w:pPr>
    </w:p>
    <w:p>
      <w:pPr>
        <w:ind w:left="4080"/>
        <w:spacing w:after="0"/>
        <w:rPr>
          <w:sz w:val="20"/>
          <w:szCs w:val="20"/>
          <w:color w:val="auto"/>
        </w:rPr>
      </w:pPr>
      <w:r>
        <w:rPr>
          <w:rFonts w:ascii="Arial" w:cs="Arial" w:eastAsia="Arial" w:hAnsi="Arial"/>
          <w:sz w:val="14"/>
          <w:szCs w:val="14"/>
          <w:color w:val="auto"/>
        </w:rPr>
        <w:t>___________________________________________</w:t>
      </w:r>
    </w:p>
    <w:p>
      <w:pPr>
        <w:spacing w:after="0" w:line="212" w:lineRule="exact"/>
        <w:rPr>
          <w:sz w:val="24"/>
          <w:szCs w:val="24"/>
          <w:color w:val="auto"/>
        </w:rPr>
      </w:pPr>
    </w:p>
    <w:p>
      <w:pPr>
        <w:ind w:right="4400"/>
        <w:spacing w:after="0" w:line="194"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4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640" w:type="dxa"/>
        <w:tblCellMar>
          <w:top w:w="0" w:type="dxa"/>
          <w:left w:w="0" w:type="dxa"/>
          <w:bottom w:w="0" w:type="dxa"/>
          <w:right w:w="0" w:type="dxa"/>
        </w:tblCellMar>
      </w:tblPr>
      <w:tr>
        <w:trPr>
          <w:trHeight w:val="189"/>
        </w:trPr>
        <w:tc>
          <w:tcPr>
            <w:tcW w:w="4200" w:type="dxa"/>
            <w:vAlign w:val="bottom"/>
          </w:tcPr>
          <w:p>
            <w:pPr>
              <w:jc w:val="right"/>
              <w:ind w:right="2668"/>
              <w:spacing w:after="0" w:line="161" w:lineRule="exact"/>
              <w:rPr>
                <w:sz w:val="20"/>
                <w:szCs w:val="20"/>
                <w:color w:val="auto"/>
              </w:rPr>
            </w:pPr>
            <w:r>
              <w:rPr>
                <w:rFonts w:ascii="Arial" w:cs="Arial" w:eastAsia="Arial" w:hAnsi="Arial"/>
                <w:sz w:val="14"/>
                <w:szCs w:val="14"/>
                <w:color w:val="auto"/>
                <w:w w:val="92"/>
              </w:rPr>
              <w:t xml:space="preserve">Large accelerated filer </w:t>
            </w:r>
            <w:r>
              <w:rPr>
                <w:rFonts w:ascii="MS PGothic" w:cs="MS PGothic" w:eastAsia="MS PGothic" w:hAnsi="MS PGothic"/>
                <w:sz w:val="14"/>
                <w:szCs w:val="14"/>
                <w:color w:val="auto"/>
                <w:w w:val="92"/>
              </w:rPr>
              <w:t>☐</w:t>
            </w:r>
          </w:p>
        </w:tc>
        <w:tc>
          <w:tcPr>
            <w:tcW w:w="450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3"/>
        </w:trPr>
        <w:tc>
          <w:tcPr>
            <w:tcW w:w="4200" w:type="dxa"/>
            <w:vAlign w:val="bottom"/>
          </w:tcPr>
          <w:p>
            <w:pPr>
              <w:jc w:val="right"/>
              <w:ind w:right="2668"/>
              <w:spacing w:after="0" w:line="161" w:lineRule="exact"/>
              <w:rPr>
                <w:sz w:val="20"/>
                <w:szCs w:val="20"/>
                <w:color w:val="auto"/>
              </w:rPr>
            </w:pPr>
            <w:r>
              <w:rPr>
                <w:rFonts w:ascii="Arial" w:cs="Arial" w:eastAsia="Arial" w:hAnsi="Arial"/>
                <w:sz w:val="14"/>
                <w:szCs w:val="14"/>
                <w:color w:val="auto"/>
                <w:w w:val="97"/>
              </w:rPr>
              <w:t xml:space="preserve">Non-accelerated filer </w:t>
            </w:r>
            <w:r>
              <w:rPr>
                <w:rFonts w:ascii="MS PGothic" w:cs="MS PGothic" w:eastAsia="MS PGothic" w:hAnsi="MS PGothic"/>
                <w:sz w:val="14"/>
                <w:szCs w:val="14"/>
                <w:color w:val="auto"/>
                <w:w w:val="97"/>
              </w:rPr>
              <w:t>☒</w:t>
            </w:r>
          </w:p>
        </w:tc>
        <w:tc>
          <w:tcPr>
            <w:tcW w:w="450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26"/>
        </w:trPr>
        <w:tc>
          <w:tcPr>
            <w:tcW w:w="4200" w:type="dxa"/>
            <w:vAlign w:val="bottom"/>
          </w:tcPr>
          <w:p>
            <w:pPr>
              <w:spacing w:after="0"/>
              <w:rPr>
                <w:sz w:val="19"/>
                <w:szCs w:val="19"/>
                <w:color w:val="auto"/>
              </w:rPr>
            </w:pPr>
          </w:p>
        </w:tc>
        <w:tc>
          <w:tcPr>
            <w:tcW w:w="450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ind w:left="20" w:right="180"/>
        <w:spacing w:after="0" w:line="146" w:lineRule="exact"/>
        <w:rPr>
          <w:sz w:val="20"/>
          <w:szCs w:val="20"/>
          <w:color w:val="auto"/>
        </w:rPr>
      </w:pPr>
      <w:r>
        <w:rPr>
          <w:rFonts w:ascii="Arial" w:cs="Arial" w:eastAsia="Arial" w:hAnsi="Arial"/>
          <w:sz w:val="13"/>
          <w:szCs w:val="13"/>
          <w:color w:val="auto"/>
        </w:rPr>
        <w:t xml:space="preserve">If an emerging growth company, indicated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 w:lineRule="exact"/>
        <w:rPr>
          <w:sz w:val="24"/>
          <w:szCs w:val="24"/>
          <w:color w:val="auto"/>
        </w:rPr>
      </w:pPr>
    </w:p>
    <w:p>
      <w:pPr>
        <w:ind w:left="20"/>
        <w:spacing w:after="0" w:line="155" w:lineRule="exact"/>
        <w:rPr>
          <w:sz w:val="20"/>
          <w:szCs w:val="20"/>
          <w:color w:val="auto"/>
        </w:rPr>
      </w:pPr>
      <w:r>
        <w:rPr>
          <w:rFonts w:ascii="Arial" w:cs="Arial" w:eastAsia="Arial" w:hAnsi="Arial"/>
          <w:sz w:val="13"/>
          <w:szCs w:val="13"/>
          <w:color w:val="auto"/>
        </w:rPr>
        <w:t xml:space="preserve">Indicate by check mark whether the registrant has filed a report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0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1" w:lineRule="exact"/>
        <w:rPr>
          <w:sz w:val="24"/>
          <w:szCs w:val="24"/>
          <w:color w:val="auto"/>
        </w:rPr>
      </w:pPr>
    </w:p>
    <w:p>
      <w:pPr>
        <w:ind w:right="240"/>
        <w:spacing w:after="0" w:line="255" w:lineRule="auto"/>
        <w:rPr>
          <w:sz w:val="20"/>
          <w:szCs w:val="20"/>
          <w:color w:val="auto"/>
        </w:rPr>
      </w:pPr>
      <w:r>
        <w:rPr>
          <w:rFonts w:ascii="Arial" w:cs="Arial" w:eastAsia="Arial" w:hAnsi="Arial"/>
          <w:sz w:val="13"/>
          <w:szCs w:val="13"/>
          <w:color w:val="auto"/>
        </w:rPr>
        <w:t>The aggregate market value of shares of common stock held by non-affiliates of the registrant, based on the closing sale price of a share of common stock on June 30, 2020 (the last business day of the registrant’s most recently completed second fiscal quarter), as reported on the Nasdaq Global Select Market, was $291,544,988.</w:t>
      </w:r>
    </w:p>
    <w:p>
      <w:pPr>
        <w:spacing w:after="0" w:line="20" w:lineRule="exact"/>
        <w:rPr>
          <w:sz w:val="24"/>
          <w:szCs w:val="24"/>
          <w:color w:val="auto"/>
        </w:rPr>
      </w:pPr>
    </w:p>
    <w:p>
      <w:pPr>
        <w:spacing w:after="0"/>
        <w:rPr>
          <w:sz w:val="20"/>
          <w:szCs w:val="20"/>
          <w:color w:val="auto"/>
        </w:rPr>
      </w:pPr>
      <w:r>
        <w:rPr>
          <w:rFonts w:ascii="Arial" w:cs="Arial" w:eastAsia="Arial" w:hAnsi="Arial"/>
          <w:sz w:val="13"/>
          <w:szCs w:val="13"/>
          <w:color w:val="auto"/>
        </w:rPr>
        <w:t>As of January 6, 2021, the registrant had outstanding 114,515,806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282"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6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PDL BIOPHARMA, INC.</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10"/>
          </w:tcPr>
          <w:p>
            <w:pPr>
              <w:jc w:val="center"/>
              <w:ind w:right="3040"/>
              <w:spacing w:after="0"/>
              <w:rPr>
                <w:sz w:val="20"/>
                <w:szCs w:val="20"/>
                <w:color w:val="auto"/>
              </w:rPr>
            </w:pPr>
            <w:r>
              <w:rPr>
                <w:rFonts w:ascii="Arial" w:cs="Arial" w:eastAsia="Arial" w:hAnsi="Arial"/>
                <w:sz w:val="18"/>
                <w:szCs w:val="18"/>
                <w:b w:val="1"/>
                <w:bCs w:val="1"/>
                <w:color w:val="auto"/>
                <w:w w:val="93"/>
              </w:rPr>
              <w:t>2020 Form 10-K Annual Report</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w w:val="89"/>
              </w:rPr>
              <w:t>Table of Contents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w:t>
            </w:r>
          </w:p>
        </w:tc>
        <w:tc>
          <w:tcPr>
            <w:tcW w:w="888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1A</w:t>
            </w:r>
          </w:p>
        </w:tc>
        <w:tc>
          <w:tcPr>
            <w:tcW w:w="8880" w:type="dxa"/>
            <w:vAlign w:val="bottom"/>
            <w:gridSpan w:val="2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108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1B</w:t>
            </w:r>
          </w:p>
        </w:tc>
        <w:tc>
          <w:tcPr>
            <w:tcW w:w="8880" w:type="dxa"/>
            <w:vAlign w:val="bottom"/>
            <w:gridSpan w:val="21"/>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Unresolved Staff Comments</w:t>
              </w:r>
            </w:hyperlink>
          </w:p>
        </w:tc>
        <w:tc>
          <w:tcPr>
            <w:tcW w:w="106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15">
              <w:r>
                <w:rPr>
                  <w:rFonts w:ascii="Arial" w:cs="Arial" w:eastAsia="Arial" w:hAnsi="Arial"/>
                  <w:sz w:val="18"/>
                  <w:szCs w:val="18"/>
                  <w:color w:val="0000FF"/>
                  <w:w w:val="87"/>
                </w:rPr>
                <w:t>Properties</w:t>
              </w:r>
            </w:hyperlink>
          </w:p>
        </w:tc>
        <w:tc>
          <w:tcPr>
            <w:tcW w:w="1300" w:type="dxa"/>
            <w:vAlign w:val="bottom"/>
            <w:tcBorders>
              <w:top w:val="single" w:sz="8" w:color="0000FF"/>
            </w:tcBorders>
            <w:gridSpan w:val="7"/>
          </w:tcPr>
          <w:p>
            <w:pPr>
              <w:spacing w:after="0"/>
              <w:rPr>
                <w:sz w:val="18"/>
                <w:szCs w:val="18"/>
                <w:color w:val="auto"/>
              </w:rPr>
            </w:pPr>
          </w:p>
        </w:tc>
        <w:tc>
          <w:tcPr>
            <w:tcW w:w="6840" w:type="dxa"/>
            <w:vAlign w:val="bottom"/>
            <w:gridSpan w:val="12"/>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15">
              <w:r>
                <w:rPr>
                  <w:rFonts w:ascii="Arial" w:cs="Arial" w:eastAsia="Arial" w:hAnsi="Arial"/>
                  <w:sz w:val="18"/>
                  <w:szCs w:val="18"/>
                  <w:color w:val="0000FF"/>
                  <w:w w:val="88"/>
                </w:rPr>
                <w:t>Legal Proceedings</w:t>
              </w:r>
            </w:hyperlink>
          </w:p>
        </w:tc>
        <w:tc>
          <w:tcPr>
            <w:tcW w:w="7540" w:type="dxa"/>
            <w:vAlign w:val="bottom"/>
            <w:gridSpan w:val="16"/>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4</w:t>
            </w:r>
          </w:p>
        </w:tc>
        <w:tc>
          <w:tcPr>
            <w:tcW w:w="8880" w:type="dxa"/>
            <w:vAlign w:val="bottom"/>
            <w:gridSpan w:val="21"/>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Mine Safety Disclosures</w:t>
              </w:r>
            </w:hyperlink>
          </w:p>
        </w:tc>
        <w:tc>
          <w:tcPr>
            <w:tcW w:w="106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Market for Registrant’s Common Equity, Related Stockholder Matters and Issuer Purchases of Equity Securities</w:t>
              </w:r>
            </w:hyperlink>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6</w:t>
            </w:r>
          </w:p>
        </w:tc>
        <w:tc>
          <w:tcPr>
            <w:tcW w:w="8880" w:type="dxa"/>
            <w:vAlign w:val="bottom"/>
            <w:gridSpan w:val="21"/>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Selected Consolidated Financial Data</w:t>
              </w:r>
            </w:hyperlink>
          </w:p>
        </w:tc>
        <w:tc>
          <w:tcPr>
            <w:tcW w:w="106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2420" w:type="dxa"/>
            <w:vAlign w:val="bottom"/>
            <w:gridSpan w:val="4"/>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7A</w:t>
            </w:r>
          </w:p>
        </w:tc>
        <w:tc>
          <w:tcPr>
            <w:tcW w:w="8880" w:type="dxa"/>
            <w:vAlign w:val="bottom"/>
            <w:gridSpan w:val="2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Quantitative and Qualitative Disclosures about Market Risk</w:t>
              </w:r>
            </w:hyperlink>
          </w:p>
        </w:tc>
        <w:tc>
          <w:tcPr>
            <w:tcW w:w="106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FF"/>
            </w:tcBorders>
            <w:gridSpan w:val="15"/>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Financial Statements and Supplementary Data</w:t>
              </w:r>
            </w:hyperlink>
          </w:p>
        </w:tc>
        <w:tc>
          <w:tcPr>
            <w:tcW w:w="458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9</w:t>
            </w:r>
          </w:p>
        </w:tc>
        <w:tc>
          <w:tcPr>
            <w:tcW w:w="6480" w:type="dxa"/>
            <w:vAlign w:val="bottom"/>
            <w:gridSpan w:val="18"/>
          </w:tcPr>
          <w:p>
            <w:pPr>
              <w:spacing w:after="0"/>
              <w:rPr>
                <w:rFonts w:ascii="Arial" w:cs="Arial" w:eastAsia="Arial" w:hAnsi="Arial"/>
                <w:sz w:val="18"/>
                <w:szCs w:val="18"/>
                <w:color w:val="0000FF"/>
                <w:w w:val="90"/>
              </w:rPr>
            </w:pPr>
            <w:hyperlink w:anchor="page106">
              <w:r>
                <w:rPr>
                  <w:rFonts w:ascii="Arial" w:cs="Arial" w:eastAsia="Arial" w:hAnsi="Arial"/>
                  <w:sz w:val="18"/>
                  <w:szCs w:val="18"/>
                  <w:color w:val="0000FF"/>
                  <w:w w:val="90"/>
                </w:rPr>
                <w:t>Changes in and Disagreements with Accountants on Accounting and Financial Disclosure</w:t>
              </w:r>
            </w:hyperlink>
          </w:p>
        </w:tc>
        <w:tc>
          <w:tcPr>
            <w:tcW w:w="2400" w:type="dxa"/>
            <w:vAlign w:val="bottom"/>
            <w:gridSpan w:val="3"/>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06">
              <w:r>
                <w:rPr>
                  <w:rFonts w:ascii="Arial" w:cs="Arial" w:eastAsia="Arial" w:hAnsi="Arial"/>
                  <w:sz w:val="18"/>
                  <w:szCs w:val="18"/>
                  <w:color w:val="0000FF"/>
                </w:rPr>
                <w:t>108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9A</w:t>
            </w:r>
          </w:p>
        </w:tc>
        <w:tc>
          <w:tcPr>
            <w:tcW w:w="1780" w:type="dxa"/>
            <w:vAlign w:val="bottom"/>
            <w:gridSpan w:val="7"/>
          </w:tcPr>
          <w:p>
            <w:pPr>
              <w:spacing w:after="0"/>
              <w:rPr>
                <w:rFonts w:ascii="Arial" w:cs="Arial" w:eastAsia="Arial" w:hAnsi="Arial"/>
                <w:sz w:val="18"/>
                <w:szCs w:val="18"/>
                <w:color w:val="0000FF"/>
                <w:w w:val="88"/>
              </w:rPr>
            </w:pPr>
            <w:hyperlink w:anchor="page107">
              <w:r>
                <w:rPr>
                  <w:rFonts w:ascii="Arial" w:cs="Arial" w:eastAsia="Arial" w:hAnsi="Arial"/>
                  <w:sz w:val="18"/>
                  <w:szCs w:val="18"/>
                  <w:color w:val="0000FF"/>
                  <w:w w:val="88"/>
                </w:rPr>
                <w:t>Controls and Procedures</w:t>
              </w:r>
            </w:hyperlink>
          </w:p>
        </w:tc>
        <w:tc>
          <w:tcPr>
            <w:tcW w:w="4700" w:type="dxa"/>
            <w:vAlign w:val="bottom"/>
            <w:gridSpan w:val="11"/>
          </w:tcPr>
          <w:p>
            <w:pPr>
              <w:spacing w:after="0"/>
              <w:rPr>
                <w:sz w:val="18"/>
                <w:szCs w:val="18"/>
                <w:color w:val="auto"/>
              </w:rPr>
            </w:pPr>
          </w:p>
        </w:tc>
        <w:tc>
          <w:tcPr>
            <w:tcW w:w="2400" w:type="dxa"/>
            <w:vAlign w:val="bottom"/>
            <w:gridSpan w:val="3"/>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07">
              <w:r>
                <w:rPr>
                  <w:rFonts w:ascii="Arial" w:cs="Arial" w:eastAsia="Arial" w:hAnsi="Arial"/>
                  <w:sz w:val="18"/>
                  <w:szCs w:val="18"/>
                  <w:color w:val="0000FF"/>
                </w:rPr>
                <w:t>108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9B</w:t>
            </w:r>
          </w:p>
        </w:tc>
        <w:tc>
          <w:tcPr>
            <w:tcW w:w="1780" w:type="dxa"/>
            <w:vAlign w:val="bottom"/>
            <w:gridSpan w:val="7"/>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Other Information</w:t>
              </w:r>
            </w:hyperlink>
          </w:p>
        </w:tc>
        <w:tc>
          <w:tcPr>
            <w:tcW w:w="7100" w:type="dxa"/>
            <w:vAlign w:val="bottom"/>
            <w:gridSpan w:val="14"/>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07">
              <w:r>
                <w:rPr>
                  <w:rFonts w:ascii="Arial" w:cs="Arial" w:eastAsia="Arial" w:hAnsi="Arial"/>
                  <w:sz w:val="18"/>
                  <w:szCs w:val="18"/>
                  <w:color w:val="0000FF"/>
                </w:rPr>
                <w:t>108</w:t>
              </w:r>
            </w:hyperlink>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10</w:t>
            </w:r>
          </w:p>
        </w:tc>
        <w:tc>
          <w:tcPr>
            <w:tcW w:w="4100" w:type="dxa"/>
            <w:vAlign w:val="bottom"/>
            <w:gridSpan w:val="14"/>
          </w:tcPr>
          <w:p>
            <w:pPr>
              <w:spacing w:after="0"/>
              <w:rPr>
                <w:rFonts w:ascii="Arial" w:cs="Arial" w:eastAsia="Arial" w:hAnsi="Arial"/>
                <w:sz w:val="18"/>
                <w:szCs w:val="18"/>
                <w:color w:val="0000FF"/>
                <w:w w:val="90"/>
              </w:rPr>
            </w:pPr>
            <w:hyperlink w:anchor="page108">
              <w:r>
                <w:rPr>
                  <w:rFonts w:ascii="Arial" w:cs="Arial" w:eastAsia="Arial" w:hAnsi="Arial"/>
                  <w:sz w:val="18"/>
                  <w:szCs w:val="18"/>
                  <w:color w:val="0000FF"/>
                  <w:w w:val="90"/>
                </w:rPr>
                <w:t>Directors, Executive Officers and Corporate Governance</w:t>
              </w:r>
            </w:hyperlink>
          </w:p>
        </w:tc>
        <w:tc>
          <w:tcPr>
            <w:tcW w:w="4780" w:type="dxa"/>
            <w:vAlign w:val="bottom"/>
            <w:gridSpan w:val="7"/>
          </w:tcPr>
          <w:p>
            <w:pPr>
              <w:spacing w:after="0"/>
              <w:rPr>
                <w:sz w:val="24"/>
                <w:szCs w:val="24"/>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08">
              <w:r>
                <w:rPr>
                  <w:rFonts w:ascii="Arial" w:cs="Arial" w:eastAsia="Arial" w:hAnsi="Arial"/>
                  <w:sz w:val="18"/>
                  <w:szCs w:val="18"/>
                  <w:color w:val="0000FF"/>
                </w:rPr>
                <w:t>109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11</w:t>
            </w:r>
          </w:p>
        </w:tc>
        <w:tc>
          <w:tcPr>
            <w:tcW w:w="4100" w:type="dxa"/>
            <w:vAlign w:val="bottom"/>
            <w:gridSpan w:val="14"/>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Executive Compensation</w:t>
              </w:r>
            </w:hyperlink>
          </w:p>
        </w:tc>
        <w:tc>
          <w:tcPr>
            <w:tcW w:w="4780" w:type="dxa"/>
            <w:vAlign w:val="bottom"/>
            <w:gridSpan w:val="7"/>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11">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12</w:t>
            </w:r>
          </w:p>
        </w:tc>
        <w:tc>
          <w:tcPr>
            <w:tcW w:w="7300" w:type="dxa"/>
            <w:vAlign w:val="bottom"/>
            <w:gridSpan w:val="19"/>
          </w:tcPr>
          <w:p>
            <w:pPr>
              <w:spacing w:after="0"/>
              <w:rPr>
                <w:rFonts w:ascii="Arial" w:cs="Arial" w:eastAsia="Arial" w:hAnsi="Arial"/>
                <w:sz w:val="18"/>
                <w:szCs w:val="18"/>
                <w:color w:val="0000FF"/>
                <w:w w:val="90"/>
              </w:rPr>
            </w:pPr>
            <w:hyperlink w:anchor="page129">
              <w:r>
                <w:rPr>
                  <w:rFonts w:ascii="Arial" w:cs="Arial" w:eastAsia="Arial" w:hAnsi="Arial"/>
                  <w:sz w:val="18"/>
                  <w:szCs w:val="18"/>
                  <w:color w:val="0000FF"/>
                  <w:w w:val="90"/>
                </w:rPr>
                <w:t>Security Ownership of Certain Beneficial Owners and Management and Related Stockholder Matters</w:t>
              </w:r>
            </w:hyperlink>
          </w:p>
        </w:tc>
        <w:tc>
          <w:tcPr>
            <w:tcW w:w="1580" w:type="dxa"/>
            <w:vAlign w:val="bottom"/>
            <w:gridSpan w:val="2"/>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29">
              <w:r>
                <w:rPr>
                  <w:rFonts w:ascii="Arial" w:cs="Arial" w:eastAsia="Arial" w:hAnsi="Arial"/>
                  <w:sz w:val="18"/>
                  <w:szCs w:val="18"/>
                  <w:color w:val="0000FF"/>
                </w:rPr>
                <w:t>130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13</w:t>
            </w:r>
          </w:p>
        </w:tc>
        <w:tc>
          <w:tcPr>
            <w:tcW w:w="5460" w:type="dxa"/>
            <w:vAlign w:val="bottom"/>
            <w:gridSpan w:val="16"/>
          </w:tcPr>
          <w:p>
            <w:pPr>
              <w:spacing w:after="0"/>
              <w:rPr>
                <w:rFonts w:ascii="Arial" w:cs="Arial" w:eastAsia="Arial" w:hAnsi="Arial"/>
                <w:sz w:val="18"/>
                <w:szCs w:val="18"/>
                <w:color w:val="0000FF"/>
                <w:w w:val="89"/>
              </w:rPr>
            </w:pPr>
            <w:hyperlink w:anchor="page129">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18"/>
                <w:szCs w:val="18"/>
                <w:color w:val="auto"/>
              </w:rPr>
            </w:pPr>
          </w:p>
        </w:tc>
        <w:tc>
          <w:tcPr>
            <w:tcW w:w="1580" w:type="dxa"/>
            <w:vAlign w:val="bottom"/>
            <w:gridSpan w:val="2"/>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29">
              <w:r>
                <w:rPr>
                  <w:rFonts w:ascii="Arial" w:cs="Arial" w:eastAsia="Arial" w:hAnsi="Arial"/>
                  <w:sz w:val="18"/>
                  <w:szCs w:val="18"/>
                  <w:color w:val="0000FF"/>
                </w:rPr>
                <w:t>130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14</w:t>
            </w:r>
          </w:p>
        </w:tc>
        <w:tc>
          <w:tcPr>
            <w:tcW w:w="5460" w:type="dxa"/>
            <w:vAlign w:val="bottom"/>
            <w:gridSpan w:val="16"/>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Principal Accountant Fees and Services</w:t>
              </w:r>
            </w:hyperlink>
          </w:p>
        </w:tc>
        <w:tc>
          <w:tcPr>
            <w:tcW w:w="3420" w:type="dxa"/>
            <w:vAlign w:val="bottom"/>
            <w:gridSpan w:val="5"/>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30">
              <w:r>
                <w:rPr>
                  <w:rFonts w:ascii="Arial" w:cs="Arial" w:eastAsia="Arial" w:hAnsi="Arial"/>
                  <w:sz w:val="18"/>
                  <w:szCs w:val="18"/>
                  <w:color w:val="0000FF"/>
                </w:rPr>
                <w:t>131</w:t>
              </w:r>
            </w:hyperlink>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15</w:t>
            </w:r>
          </w:p>
        </w:tc>
        <w:tc>
          <w:tcPr>
            <w:tcW w:w="3160" w:type="dxa"/>
            <w:vAlign w:val="bottom"/>
            <w:gridSpan w:val="12"/>
          </w:tcPr>
          <w:p>
            <w:pPr>
              <w:spacing w:after="0"/>
              <w:rPr>
                <w:rFonts w:ascii="Arial" w:cs="Arial" w:eastAsia="Arial" w:hAnsi="Arial"/>
                <w:sz w:val="18"/>
                <w:szCs w:val="18"/>
                <w:color w:val="0000FF"/>
                <w:w w:val="89"/>
              </w:rPr>
            </w:pPr>
            <w:hyperlink w:anchor="page132">
              <w:r>
                <w:rPr>
                  <w:rFonts w:ascii="Arial" w:cs="Arial" w:eastAsia="Arial" w:hAnsi="Arial"/>
                  <w:sz w:val="18"/>
                  <w:szCs w:val="18"/>
                  <w:color w:val="0000FF"/>
                  <w:w w:val="89"/>
                </w:rPr>
                <w:t>Exhibits and Financial Statement Schedules</w:t>
              </w:r>
            </w:hyperlink>
          </w:p>
        </w:tc>
        <w:tc>
          <w:tcPr>
            <w:tcW w:w="5720" w:type="dxa"/>
            <w:vAlign w:val="bottom"/>
            <w:gridSpan w:val="9"/>
          </w:tcPr>
          <w:p>
            <w:pPr>
              <w:spacing w:after="0"/>
              <w:rPr>
                <w:sz w:val="24"/>
                <w:szCs w:val="24"/>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32">
              <w:r>
                <w:rPr>
                  <w:rFonts w:ascii="Arial" w:cs="Arial" w:eastAsia="Arial" w:hAnsi="Arial"/>
                  <w:sz w:val="18"/>
                  <w:szCs w:val="18"/>
                  <w:color w:val="0000FF"/>
                </w:rPr>
                <w:t>133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rPr>
                <w:rFonts w:ascii="Arial" w:cs="Arial" w:eastAsia="Arial" w:hAnsi="Arial"/>
                <w:sz w:val="18"/>
                <w:szCs w:val="18"/>
                <w:color w:val="0000FF"/>
                <w:w w:val="92"/>
              </w:rPr>
            </w:pPr>
            <w:hyperlink w:anchor="page132">
              <w:r>
                <w:rPr>
                  <w:rFonts w:ascii="Arial" w:cs="Arial" w:eastAsia="Arial" w:hAnsi="Arial"/>
                  <w:sz w:val="18"/>
                  <w:szCs w:val="18"/>
                  <w:color w:val="0000FF"/>
                  <w:w w:val="92"/>
                </w:rPr>
                <w:t>Form 10-K Summary</w:t>
              </w:r>
            </w:hyperlink>
          </w:p>
        </w:tc>
        <w:tc>
          <w:tcPr>
            <w:tcW w:w="1600" w:type="dxa"/>
            <w:vAlign w:val="bottom"/>
            <w:gridSpan w:val="6"/>
          </w:tcPr>
          <w:p>
            <w:pPr>
              <w:spacing w:after="0"/>
              <w:rPr>
                <w:sz w:val="18"/>
                <w:szCs w:val="18"/>
                <w:color w:val="auto"/>
              </w:rPr>
            </w:pPr>
          </w:p>
        </w:tc>
        <w:tc>
          <w:tcPr>
            <w:tcW w:w="5720" w:type="dxa"/>
            <w:vAlign w:val="bottom"/>
            <w:gridSpan w:val="9"/>
          </w:tcPr>
          <w:p>
            <w:pPr>
              <w:spacing w:after="0"/>
              <w:rPr>
                <w:sz w:val="18"/>
                <w:szCs w:val="18"/>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32">
              <w:r>
                <w:rPr>
                  <w:rFonts w:ascii="Arial" w:cs="Arial" w:eastAsia="Arial" w:hAnsi="Arial"/>
                  <w:sz w:val="18"/>
                  <w:szCs w:val="18"/>
                  <w:color w:val="0000FF"/>
                </w:rPr>
                <w:t>133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vMerge w:val="restart"/>
          </w:tcPr>
          <w:p>
            <w:pPr>
              <w:spacing w:after="0"/>
              <w:rPr>
                <w:rFonts w:ascii="Arial" w:cs="Arial" w:eastAsia="Arial" w:hAnsi="Arial"/>
                <w:sz w:val="18"/>
                <w:szCs w:val="18"/>
                <w:b w:val="1"/>
                <w:bCs w:val="1"/>
                <w:color w:val="0000FF"/>
              </w:rPr>
            </w:pPr>
            <w:hyperlink w:anchor="page138">
              <w:r>
                <w:rPr>
                  <w:rFonts w:ascii="Arial" w:cs="Arial" w:eastAsia="Arial" w:hAnsi="Arial"/>
                  <w:sz w:val="18"/>
                  <w:szCs w:val="18"/>
                  <w:b w:val="1"/>
                  <w:bCs w:val="1"/>
                  <w:color w:val="0000FF"/>
                </w:rPr>
                <w:t>SIGNATURES</w:t>
              </w:r>
            </w:hyperlink>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gridSpan w:val="4"/>
          </w:tcPr>
          <w:p>
            <w:pPr>
              <w:jc w:val="right"/>
              <w:ind w:right="20"/>
              <w:spacing w:after="0"/>
              <w:rPr>
                <w:rFonts w:ascii="Arial" w:cs="Arial" w:eastAsia="Arial" w:hAnsi="Arial"/>
                <w:sz w:val="18"/>
                <w:szCs w:val="18"/>
                <w:color w:val="0000FF"/>
              </w:rPr>
            </w:pPr>
            <w:hyperlink w:anchor="page138">
              <w:r>
                <w:rPr>
                  <w:rFonts w:ascii="Arial" w:cs="Arial" w:eastAsia="Arial" w:hAnsi="Arial"/>
                  <w:sz w:val="18"/>
                  <w:szCs w:val="18"/>
                  <w:color w:val="0000FF"/>
                </w:rPr>
                <w:t>140</w:t>
              </w:r>
            </w:hyperlink>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Form 10-K contains “forward-looking statements” within the meaning of Section 27A of the Securities Act of 1933, as amended, and Section 21E of the Securities Exchange Act of 1934, as amended. All statements other than statements of historical facts are “forward-looking statements” for purposes of these provisions, including any projections of earnings, revenues or other financial items, any statements of the plans and objectives of management for future operations, including any statements concerning the timing, implementation or success of our monetization strategy/plan of complete liquidation, any statements regarding future economic conditions or performance, and any statement of assumptions underlying any of the foregoing.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forward-looking statements can be identified by the use of terminology such as “may,” “will,” “intends,” “plans,” “believes,” “targets,” “anticipates,” “expects,” “estimates,” “predicts,” “potential,” “continue” or “opportunity,” or the negative thereof or other comparable terminology. The forward-looking statements in this Form 10-K are only predictions. Although we believe that the expectations presented in the forward-looking statements contained herein are reasonable at the time of filing, there can be no assurance that such expectations or any of the forward-looking statements will prove to be correct. These forward-looking statements, including with regards to our plan of dissolution, are subject to inherent risks and uncertainties, including but not limited to the risk factors set forth below, and for the reasons described elsewhere in this Form 10-K. All forward-looking statements and reasons why results may differ included in this Form 10-K are made as of the date hereof.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own or have rights to certain trademarks, trade names, copyrights and other intellectual property used in our business, including PDL BioPharma, Inc. and the PDL logo, each of which is considered a registered trademark. All other company names, product names, trade names and trademarks included in this Form 10-K are trademarks, registered trademarks or trade names of their respective owners.</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 this report all references to “PDL,” “we,” “us,” “our” or the “Company” mean collectively PDL BioPharma, Inc. and its subsidiaries, except where it is made clear that the term means only PDL BioPharma, Inc.</w:t>
      </w:r>
    </w:p>
    <w:p>
      <w:pPr>
        <w:spacing w:after="0" w:line="19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Throughout our history, our mission has been to improve the lives of patients by aiding in the successful development of innovative therapeutics and healthcare technologies. PDL BioPharma was founded in 1986 as Protein Design Labs, Inc. when it pioneered the humanization of monoclonal antibodies, enabling the discovery of a new generation of targeted treatments that have had a profound impact on patients living with different cancers as well as a variety of other debilitating diseases. In 2006, we changed our name to PDL BioPharma, Inc.</w:t>
      </w:r>
    </w:p>
    <w:p>
      <w:pPr>
        <w:spacing w:after="0" w:line="19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Historically, we generated a substantial portion of our revenues through the license agreements related to patents covering the humanization of antibodies, which we refer to as the Queen et al. patents. In 2012, and in anticipation of declining revenues from the Queen et al. patents, we began providing alternative sources of capital through royalty monetizations and debt facilities, and, in 2016, we began acquiring commercial-stage products and launching specialized companies dedicated to the commercialization of these products, first with our acquisition of branded prescription pharmaceutical drugs from Novartis AG, Novartis Pharma AG and Speedel Holding AG (collectively, “Novartis”) in 2016 and, in 2017, with the acquisition of LENSAR, Inc. (“LENSAR”), a medical device ophthalmology equipment manufacturing company. In 2019, we entered into a securities purchase agreement with Evofem Biosciences, Inc. (“Evofem”), pursuant to which we invested $60.0 million in a private placement of securities. These investments provided funding for Evofem’s pre-commercial activities for Phexxi</w:t>
      </w:r>
      <w:r>
        <w:rPr>
          <w:rFonts w:ascii="Arial" w:cs="Arial" w:eastAsia="Arial" w:hAnsi="Arial"/>
          <w:sz w:val="20"/>
          <w:szCs w:val="20"/>
          <w:color w:val="auto"/>
          <w:vertAlign w:val="superscript"/>
        </w:rPr>
        <w:t>®</w:t>
      </w:r>
      <w:r>
        <w:rPr>
          <w:rFonts w:ascii="Arial" w:cs="Arial" w:eastAsia="Arial" w:hAnsi="Arial"/>
          <w:sz w:val="16"/>
          <w:szCs w:val="16"/>
          <w:color w:val="auto"/>
        </w:rPr>
        <w:t>, its non-hormonal, on-demand prescription contraceptive gel for women.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Based on the nature of our investments entered into between 2012 through 2019 and further discussed below, our operations were structured in four segments designated as Medical Devices, Strategic Positions, Income Generating Assets, and Pharmaceutical.</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ind w:right="240"/>
        <w:spacing w:after="0" w:line="229" w:lineRule="auto"/>
        <w:rPr>
          <w:sz w:val="20"/>
          <w:szCs w:val="20"/>
          <w:color w:val="auto"/>
        </w:rPr>
      </w:pPr>
      <w:r>
        <w:rPr>
          <w:rFonts w:ascii="Arial" w:cs="Arial" w:eastAsia="Arial" w:hAnsi="Arial"/>
          <w:sz w:val="18"/>
          <w:szCs w:val="18"/>
          <w:color w:val="auto"/>
        </w:rPr>
        <w:t>Our Medical Devices segment consisted of revenue from the sale and lease of the LENSAR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Laser System, which included equipment, Patient Interface Devices (“PIDs”), procedure licenses, training, installation, warranty and maintenance agreements.</w:t>
      </w: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Strategic Positions segment consisted of an investment in Evofem (NASDAQ: EVFM). Our investment included shares of common stock and warrants to purchase additional shares of common stock.</w:t>
      </w:r>
    </w:p>
    <w:p>
      <w:pPr>
        <w:spacing w:after="0" w:line="192"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Our Pharmaceutical segment consisted of revenue derived from branded prescription medicine products sold under the name Tekturna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Tekturna HCT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Rasilez</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Rasilez HCT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rest of the world and revenue generated from the sale of an authorized generic form of Tekturna in the United States (collectively, the “Noden Products”).</w:t>
      </w:r>
    </w:p>
    <w:p>
      <w:pPr>
        <w:spacing w:after="0" w:line="23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Income Generating Assets segment consisted of revenue derived from (i) notes and other long-term receivables, (ii) royalty rights and hybrid notes/royalty receivables, (iii) equity investments and (iv) royalties from issued patents in the United States and elsewhere covering the humanization of antibodies, which we refer to as the Queen et al. patents.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Financial information about our segments, including our revenues and net loss for the eight months ended August 31, 2020 and the years ended December 31, 2019 and 2018, and select long-lived assets as of December 31, 2020 and 2019, is included in our Consolidated Financial Statements and accompanying notes in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Dissolution Plan</w:t>
      </w: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September 2019, we engaged financial and legal advisors and initiated a review of our strategy. This review was completed in December 2019. At such time, we disclosed that we planned to halt the execution of our growth strategy, cease making additional strategic transactions and investments and instead pursue a formal process to unlock the value of our portfolio by monetizing our assets and ultimately distributing net proceeds to stockholders (the “monetization strategy”). We further announced in December 2019 that we would explore a variety of potential transactions in connection with the monetization strategy, including a whole Company sale, divestiture of our assets, spin-offs of operating entities, merger opportunities or a combination thereof. Over the subsequent months, our board of directors (the “Board”) and management analyzed, together with our outside financial and legal advisors, how to best capture value pursuant to our monetization strategy and best return the significant intrinsic value of the assets in our portfolio to the stockholders.</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2020, the Board approved a plan of complete liquidation (the “Plan of Liquidation”) of our assets and passed a resolution to seek stockholder approval to dissolve our Company. At our Annual Meeting of Stockholders in August 2020, the proposal to liquidate and dissolve our Company pursuant to a plan of dissolution was approved by our stockholders. On November 5, 2020, our Board approved filing a certificate of dissolution with the Secretary of State of Delaware in January 2021 and proceeding to complete the dissolution process for our Company in accordance with the Delaware General Corporate Law. The filing of the certificate of dissolution occurred on January 4, 2021 and we closed our stock transfer books as of such date (the “Final Record Date”). After such time, we are not recording any further transfers of our common stock, except pursuant to the provisions of a deceased stockholder’s will, intestate succession, or by operation of law and we will not issue any new stock certificates, other than replacement certificates. In addition, we will not be issuing any shares of our common stock for the outstanding stock options. As a result of the closing of our transfer books, it is anticipated that distributions, if any, made in connection with the dissolution will be made pro rata to the stockholders of record as of the Final Record Date. In accordance with our dissolution plan, we completed the voluntary delisting process from the Nasdaq Stock Market exchange so that suspension of trading occurred before the market opened on December 31, 2020 and official delisting of our stock occurred on January 7, 2021. On January 8, 2021, we filed a Form 15 notifying the SEC of deregistration of our common stock under Section 12(g) of the Exchange Act and suspension of our duty to file</w:t>
      </w:r>
    </w:p>
    <w:p>
      <w:pPr>
        <w:spacing w:after="0" w:line="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reports under Sections 13 and 15(d) of the Exchange Act. We do not anticipate participating in Over-The-Counter (“OTC”) trading related to our stock or economic interests in our stock.</w:t>
      </w:r>
    </w:p>
    <w:p>
      <w:pPr>
        <w:spacing w:after="0" w:line="19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Pursuant to our monetization strategy, we explored a variety of potential transactions, including a whole Company sale, divestiture of assets, spin-offs of operating entities, merger opportunities or a combination thereof. In addition, we analyzed, and continue to analyze, optimal mechanisms for returning value to stockholders in a tax-efficient manner, including share repurchases, cash dividends and other distributions of assets. Despite the challenges of the 2019 novel coronavirus (“COVID-19”), we made significant progress in our monetization strategy during 2020, including monetizing most of our key assets and resolving a longstanding legal issue as follows:</w:t>
      </w:r>
    </w:p>
    <w:p>
      <w:pPr>
        <w:spacing w:after="0" w:line="26"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May 2020, pursuant to our Plan of Liquidation we made a liquidation distribution of all of our common stock in Evofem to PDL stockholders of record as of the close of business on May 15, 2020 (the “Evofem Record Date”).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4" w:name="page5"/>
    <w:bookmarkEnd w:id="4"/>
    <w:p>
      <w:pPr>
        <w:ind w:left="660" w:right="1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2020, we entered into a settlement agreement (the “Settlement Agreement”) with related entities of Defined Diagnostics, LLC (f/k/a Wellstat Diagnostics, LLC) (“Wellstat Diagnostics” and, together with such related entities, the “Wellstat Parties”) resolving previously reported litigation relating to loans made to Wellstat Diagnostics by us</w:t>
      </w:r>
    </w:p>
    <w:p>
      <w:pPr>
        <w:spacing w:after="0" w:line="16" w:lineRule="exact"/>
        <w:rPr>
          <w:rFonts w:ascii="Arial" w:cs="Arial" w:eastAsia="Arial" w:hAnsi="Arial"/>
          <w:sz w:val="18"/>
          <w:szCs w:val="18"/>
          <w:color w:val="auto"/>
        </w:rPr>
      </w:pPr>
    </w:p>
    <w:p>
      <w:pPr>
        <w:ind w:left="660" w:right="120" w:hanging="328"/>
        <w:spacing w:after="0" w:line="22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2020, we sold three royalty interests related to third party sales of Kybella</w:t>
      </w:r>
      <w:r>
        <w:rPr>
          <w:rFonts w:ascii="Arial" w:cs="Arial" w:eastAsia="Arial" w:hAnsi="Arial"/>
          <w:sz w:val="23"/>
          <w:szCs w:val="23"/>
          <w:color w:val="auto"/>
          <w:vertAlign w:val="superscript"/>
        </w:rPr>
        <w:t>®</w:t>
      </w:r>
      <w:r>
        <w:rPr>
          <w:rFonts w:ascii="Arial" w:cs="Arial" w:eastAsia="Arial" w:hAnsi="Arial"/>
          <w:sz w:val="18"/>
          <w:szCs w:val="18"/>
          <w:color w:val="auto"/>
        </w:rPr>
        <w:t>, Zalviso</w:t>
      </w:r>
      <w:r>
        <w:rPr>
          <w:rFonts w:ascii="Arial" w:cs="Arial" w:eastAsia="Arial" w:hAnsi="Arial"/>
          <w:sz w:val="23"/>
          <w:szCs w:val="23"/>
          <w:color w:val="auto"/>
          <w:vertAlign w:val="superscript"/>
        </w:rPr>
        <w:t>®</w:t>
      </w:r>
      <w:r>
        <w:rPr>
          <w:rFonts w:ascii="Arial" w:cs="Arial" w:eastAsia="Arial" w:hAnsi="Arial"/>
          <w:sz w:val="18"/>
          <w:szCs w:val="18"/>
          <w:color w:val="auto"/>
        </w:rPr>
        <w:t>, and Coflex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SWK Funding, LLC (“SWK”), a wholly owned subsidiary of SWK Holdings Corporation</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2020, we completed the previously announced sale of our interest in Noden DAC and Noden USA</w:t>
      </w:r>
    </w:p>
    <w:p>
      <w:pPr>
        <w:spacing w:after="0" w:line="63" w:lineRule="exact"/>
        <w:rPr>
          <w:rFonts w:ascii="Arial" w:cs="Arial" w:eastAsia="Arial" w:hAnsi="Arial"/>
          <w:sz w:val="18"/>
          <w:szCs w:val="18"/>
          <w:color w:val="auto"/>
        </w:rPr>
      </w:pPr>
    </w:p>
    <w:p>
      <w:pPr>
        <w:jc w:val="both"/>
        <w:ind w:left="660" w:right="12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October 2020, pursuant to our Plan of Liquidation we completed the previously announced spin-off of LENSAR, our majority-owned medical device company, whereby we made a liquidation distribution of all of our shares of LENSAR common stock to our stockholders as of September 22, 2020 (the “LENSAR Record Date”)</w:t>
      </w:r>
    </w:p>
    <w:p>
      <w:pPr>
        <w:spacing w:after="0" w:line="15" w:lineRule="exact"/>
        <w:rPr>
          <w:rFonts w:ascii="Arial" w:cs="Arial" w:eastAsia="Arial" w:hAnsi="Arial"/>
          <w:sz w:val="18"/>
          <w:szCs w:val="18"/>
          <w:color w:val="auto"/>
        </w:rPr>
      </w:pPr>
    </w:p>
    <w:p>
      <w:pPr>
        <w:ind w:left="660" w:right="360" w:hanging="328"/>
        <w:spacing w:after="0" w:line="23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In December 2020, we entered into a Capital Provision Agreement with Epps Investments LLC (“Epps”) regarding our previously announced Settlement Agreement with the Wellstat Parties whereby we sold all remaining amounts owed to us under the Settlement Agreement for consideration received</w:t>
      </w:r>
    </w:p>
    <w:p>
      <w:pPr>
        <w:spacing w:after="0" w:line="2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Settlement Agreement with the Wellstat Parties provided for the payment of $7.5 million upon the signing of the Settlement Agreement, which has been received, and either (1) $5.0 million by February 10, 2021 and $55.0 million by July 26, 2021; or (2) $67.5 million by July 26, 2021. Under the terms of the Settlement Agreement, failure by the Wellstat Parties to make payment in full by July 26, 2021, authorized us to record judgment against the Wellstat Parties for an amount of $92.5 million or such lesser amount as may be owed under the Settlement Agreement.</w:t>
      </w:r>
    </w:p>
    <w:p>
      <w:pPr>
        <w:spacing w:after="0" w:line="19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Pursuant to the Capital Provision Agreement with Epps we received $51.4 million on December 31, 2020 in exchange for 100% of the payments or other property or value received by PDL on or after the date of the Capital Provision Agreement pursuant to the Settlement Agreement.</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proceeds from the sale of the three royalty interests to SWK totaled $4.35 million, 90% of which was received at the closing of the transaction. The remaining 10% is currently held in escrow against certain potential contingencies and is to be released on the one-year anniversary of the closing, subject to the satisfaction of any such potential contingencies.</w:t>
      </w:r>
    </w:p>
    <w:p>
      <w:pPr>
        <w:spacing w:after="0" w:line="2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July 30, 2020, we signed a definitive agreement for the sale of our interest in Noden DAC and Noden USA to CAT Capital Bidco Limited (“Stanley Capital”). In accordance with the terms of the agreement, we expect to receive consideration of up to $52.8 million. Stanley Capital made an initial cash payment to us of $12.2 million on the September 9, 2020 closing date. We are also entitled to recover $0.5 million related to value-added tax (“VAT”) for inventory purchases from Novartis. The agreement provides for an additional $33.0 million to be paid to us in twelve equal quarterly installments from January 2021 to October 2023, of which the first installment payment has been received. An additional $3.9 million will be paid in four equal quarterly installments from January 2023 to October 2023. The agreement also provides for the potential for additional contingent payments to us. We are entitled to receive $2.5 million upon Stanley Capital or any of its affiliates entering into a binding agreement for a specified transaction within one year of the closing date. We are also entitled to 50% of a license fee from a third party distributor within 10 days of receipt by Noden. Upon closing, we recorded a gain of $0.2 million. In connection with the closing of the transaction, the guaranty agreement between Novartis and us which guaranteed certain payments owed to Novartis by Noden was terminated.</w:t>
      </w:r>
    </w:p>
    <w:p>
      <w:pPr>
        <w:spacing w:after="0" w:line="2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intend to pursue monetization of our remaining assets in a disciplined and cost-effective manner to maximize returns to stockholders. At the same time, we recognize that accelerating the timeline to complete our monetization process, while continuing to optimize asset value, could increase returns to stockholders due to reduced general and administrative expenses as well as provide for faster returns to stockholders. While we are cognizant that an accelerated timeline may provide greater and faster returns to our stockholders, we also recognize that the duration and extent of the public health issues related to the COVID-19 pandemic make it possible that the timing of the sale of all or substantially all of our remaining assets may require additional time to execute or for us to pursue alternatives to the sale of these assets. For example, if a suitable offer to purchase the remaining royalty assets is not received prior to completing the dissolution process, they could be placed in a liquidating trust. The available proceeds from either the ongoing collection of royalty income or from the sale of the royalty assets would ultimately be distributed to our stockholders. We will continue to assess the market for our remaining assets to determine the appropriate time to sell them or to opt for alternative paths to return their value to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current and historical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Medical Devices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LENSAR</w:t>
      </w:r>
    </w:p>
    <w:p>
      <w:pPr>
        <w:spacing w:after="0" w:line="25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LENSAR is a commercial-stage medical device company focused on designing, developing and marketing an advanced femtosecond laser system for the treatment of cataracts and the management of pre-existing or surgically induced corneal astigmatism. LENSAR’s femtosecond laser uses proprietary advanced imaging and laser technology to customize planning and treatments, allowing faster visual recovery and improved outcomes, as compared to conventional cataract surgery, a more manual procedure combined with ultrasound, referred to as phacoemulsification. LENSAR has developed the LENSAR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Laser System, which is the only femtosecond cataract laser built specifically for refractive cataract surgery. At spin-off, LENSAR had over 95 granted patents in the United States and the rest of the world and over 55 pending patent applications in the United States and the rest of the world.</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noted above, on October 1, 2020 all outstanding shares of LENSAR common stock held by us were distributed to our holders of common stock as of the LENSAR Record Date. On October 1, each of our stockholders received 0.075879 shares of LENSAR common stock for every one share of our common stock held by such holders, based on the number of outstanding shares on the LENSAR Record Date. LENSAR continues to own and operate its femtosecond laser system business following completion of the distribution. As of October 1, 2020 LENSAR became an independent, publicly traded company listed on the Nasdaq Stock Market under the symbol “LNSR”.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Evofem</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invested $60.0 million in Evofem in the second quarter of 2019, representing approximately a 27% ownership interest in the company as of March 31, 2020. The transaction was structured in two tranches. The first tranche comprised $30.0 million, which was funded on April 11, 2019. We invested an additional $30.0 million in a second tranche on June 10, 2019, alongside two existing Evofem stockholders, who each invested an additional $10.0 million. On May 21, 2020 we distributed all of our 13,333,334 shares of common stock of Evofem to our stockholders of record on the Evofem Record Date, which represented approximately 26.7% of the outstanding shares of Evofem common stock as of the close of business on May 15, 2020. As of December 31, 2020, we continued to hold the warrants to purchase up to 3,333,334 shares of Evofem common stock.</w:t>
      </w:r>
    </w:p>
    <w:p>
      <w:pPr>
        <w:spacing w:after="0" w:line="205"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Evofem is a commercial-stage biopharmaceutical company committed to developing and commercializing innovative products to address unmet needs in women’s sexual and reproductive health. Evofem is leveraging its proprietary Multipurpose Vaginal pH Regulator (MVP-R™) platform for its first commercial product Phexxi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(L-lactic acid, citric acid and potassium bitartrate) for hormone-free birth control. On May 22, 2020 Phexxi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approved by the U.S. Food and Drug Administration for the prevention of pregnancy in women who choose to use on demand methods for their contraceptive needs. On September 8, 2020, Phexxi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commercially launched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Strategic Positions segment was classified as discontinued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Pharmaceutical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Noden</w:t>
      </w:r>
    </w:p>
    <w:p>
      <w:pPr>
        <w:spacing w:after="0" w:line="25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July 1, 2016, our subsidiary, Noden DAC, entered into an asset purchase agreement (“Noden Purchase Agreement”) whereby it purchased from Novartis the exclusive worldwide rights to manufacture, market, and sell the Noden Products and certain related assets and assumed certain related liabilities (the “Noden Transaction”). Noden DAC and Noden USA, together, and including their respective subsidiaries represented deployed capital of $191.2 million.</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Tekturna (or Rasilez outside of the United States) contains aliskiren, a direct renin inhibitor, for the treatment of hypertension. While indicated as a first line treatment, it is more commonly used as a third line treatment in those patients who are intolerant of angiotensin-receptor blockers (“ARBs”) or angiotensin converting enzyme inhibitors (“ACEIs”). Studies indicate that approximately 12% of hypertension patients are ARB/ACEI intolerant. Tekturna and Rasilez are not indicated for use with ARBs and ACEIs in patients with diabetes or renal impairment and are contraindicated for use by pregnant women. In March 2019, we launched an authorized generic (“AG”) form of Tekturna, aliskiren hemifumarate 150 mg and 300 mg tablets in the United States with the same drug formulation as Tekturna. The AG is distributed by Prasco, LLC d/b/a Prasco Laboratories.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ind w:right="140"/>
        <w:spacing w:after="0" w:line="259" w:lineRule="auto"/>
        <w:rPr>
          <w:sz w:val="20"/>
          <w:szCs w:val="20"/>
          <w:color w:val="auto"/>
        </w:rPr>
      </w:pPr>
      <w:r>
        <w:rPr>
          <w:rFonts w:ascii="Arial" w:cs="Arial" w:eastAsia="Arial" w:hAnsi="Arial"/>
          <w:sz w:val="18"/>
          <w:szCs w:val="18"/>
          <w:color w:val="auto"/>
        </w:rPr>
        <w:t>Tekturna HCT is a combination of aliskiren and hydrochlorothiazide, a diuretic, for the treatment of hypertension in patients not adequately controlled by monotherapy and as an initial therapy in patients likely to need multiple drugs to achieve their blood pressure goals. It is not indicated for use with ACEIs and ARBs in patient with diabetes or renal impairment, or for use in patients with known anuria or hypersensitivity to sulfonamide derived drugs and is contraindicated for use by pregnant women.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September 9, 2020, we sold 100% of our interests in our wholly owned subsidiaries Noden DAC and Noden USA to Stanley Capital.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Pharmaceutical segment was classified as discontinued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Generating Assets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income generating assets included in continuing operations consist of (i) notes and other long-term receivables, (ii) equity investments and (iii) royalties from the Queen et. al patents.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and Other Long-Term Receivables</w:t>
      </w:r>
    </w:p>
    <w:p>
      <w:pPr>
        <w:spacing w:after="0" w:line="252" w:lineRule="exact"/>
        <w:rPr>
          <w:sz w:val="20"/>
          <w:szCs w:val="20"/>
          <w:color w:val="auto"/>
        </w:rPr>
      </w:pPr>
    </w:p>
    <w:p>
      <w:pPr>
        <w:ind w:right="640"/>
        <w:spacing w:after="0" w:line="311" w:lineRule="auto"/>
        <w:rPr>
          <w:sz w:val="20"/>
          <w:szCs w:val="20"/>
          <w:color w:val="auto"/>
        </w:rPr>
      </w:pPr>
      <w:r>
        <w:rPr>
          <w:rFonts w:ascii="Arial" w:cs="Arial" w:eastAsia="Arial" w:hAnsi="Arial"/>
          <w:sz w:val="16"/>
          <w:szCs w:val="16"/>
          <w:color w:val="auto"/>
        </w:rPr>
        <w:t>We have entered into credit agreements with borrowers across the healthcare industry, under which we made available cash loans to be used by the borrower. Obligations under these credit agreements are typically secured by a pledge of substantially all the assets of the borrower and any of its subsidiaries. As of December 31, 2020, we had one note receivable transaction outstanding, CareView, which is summarized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CareView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Technology</w:t>
      </w:r>
    </w:p>
    <w:p>
      <w:pPr>
        <w:spacing w:after="0" w:line="252"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CareView is a provider of products and on-demand application services for the healthcare industry by specializing in bedside video monitoring, archiving and patient care documentation systems and patient entertainment services.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Deal Summary</w:t>
      </w:r>
    </w:p>
    <w:p>
      <w:pPr>
        <w:spacing w:after="0" w:line="252" w:lineRule="exact"/>
        <w:rPr>
          <w:sz w:val="20"/>
          <w:szCs w:val="20"/>
          <w:color w:val="auto"/>
        </w:rPr>
      </w:pPr>
    </w:p>
    <w:p>
      <w:pPr>
        <w:ind w:left="660" w:right="80"/>
        <w:spacing w:after="0" w:line="271" w:lineRule="auto"/>
        <w:rPr>
          <w:sz w:val="20"/>
          <w:szCs w:val="20"/>
          <w:color w:val="auto"/>
        </w:rPr>
      </w:pPr>
      <w:r>
        <w:rPr>
          <w:rFonts w:ascii="Arial" w:cs="Arial" w:eastAsia="Arial" w:hAnsi="Arial"/>
          <w:sz w:val="17"/>
          <w:szCs w:val="17"/>
          <w:color w:val="auto"/>
        </w:rPr>
        <w:t>In June 2015, we entered into a credit agreement with CareView, whereby we made available to CareView up to $40.0 million in loans comprised of two tranches of $20.0 million each, subject to CareView’s attainment of specified milestones and under which we have a security interest in substantially all of CareView’s assets. In October 2015, we and CareView entered into an amendment of the credit agreement to modify certain definitions related to the first and second tranche milestones and we funded the first tranche of $20.0 million, net of fees, based on CareView’s attainment of the first milestone, as amended. The second $20.0 million tranche was not funded due to CareView’s failure to meet the funding milestone and we have no further funding obligation at this time. The outstanding borrowing under the credit agreement initially bore interest at the rate of 13.5% per annum payable quarterly in arrears. Principal repayment was to commence on the ninth quarterly interest payment date and continue in equal installments until final maturity of the loan in October 2020.</w:t>
      </w:r>
    </w:p>
    <w:p>
      <w:pPr>
        <w:spacing w:after="0" w:line="205"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In February 2018, we entered into a modification agreement with CareView (the “February 2018 Modification Agreement”) whereby we agreed, effective as of December 28, 2017, to modify the credit agreement before remedies could otherwise have become available to us under the credit agreement in relation to certain obligations of CareView that would potentially not be met, including the requirement to make principal payments. Under the February 2018 Modification Agreement, we agreed that (i) a lower liquidity covenant would be applicable and (ii) principal repayment would be delayed for a period of up to December 31, 2018. In exchange for agreeing to these modifications, among other things, the exercise price of our warrants to purchase 4.4 million shares of common stock of CareView was reduced and, subject to the occurrence of certain events, CareView agreed to grant us additional equity interests. In each of September 2018, December 2018, May 2019, September 2019 and December 2019, we entered into amendments to the February 2018 Modification Agreement with CareView whereby we agreed to deferrals of principal repayments and interest payments. In the May 2019 amendment we also increased the interest rate to 15.5% and removed the liquidity covenant under the credit agreement. In January 2020 we agreed to a further amendment of the February 2018 Modification Agreement that deferred principal repayment and interest payments until April 30, 2020, which was conditioned upon CareView raising additional financing from third parties. Pursuant to further amendments to the February 2018 Modification Agreement, the Company has agreed to defer principal and interest payments until May 31, 2021.</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Royalties from Queen et al. patents</w:t>
      </w:r>
    </w:p>
    <w:p>
      <w:pPr>
        <w:spacing w:after="0" w:line="25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have been issued patents in the United States and elsewhere, covering the humanization of antibodies, which we refer to as our Queen et al. patents. Our Queen et al. patents, for which final patent expiry was in December 2014, covered, among other things, humanized antibodies, methods for humanizing antibodies, polynucleotide encoding in humanized antibodies and methods of producing humanized antibodies.</w:t>
      </w:r>
    </w:p>
    <w:p>
      <w:pPr>
        <w:spacing w:after="0" w:line="19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We previously entered into licensing agreements under our Queen et al. patents with numerous entities that are independently developing or have developed humanized antibodies. Under our licensing agreements, we are entitled to receive a flat-rate royalty based upon our licensees’ net sales of covered antibodies, although the royalties under these agreements have substantially ended.</w:t>
      </w:r>
    </w:p>
    <w:p>
      <w:pPr>
        <w:spacing w:after="0" w:line="2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Solanezumab is a Lilly-licensed humanized monoclonal antibody being tested in a study of older individuals who may be at risk of memory loss and cognitive decline due to Alzheimer’s disease. Lilly has characterized the study as an assessment of whether an anti-amyloid investigational drug in older individuals who do not yet show symptoms of Alzheimer's disease cognitive impairment or dementia can slow memory loss and cognitive decline. The study will also test whether solanezumab treatment can delay the progression of Alzheimer’s disease related brain injury on imaging and other biomarkers. If solanezumab is approved and commercialized pursuant to this clinical trial or another, we would be entitled to receive a royalty based on a "know-how" license for technology provided in the design of this antibody. The 2% royalty on net sales is payable for 12.5 years after the product's first commercial sale. The above described study is currently in Phase 3 testing with an estimated study completion date expected in January of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underlying products associated with our income generating assets compete with existing products and are vulnerable to new branded or generic entrants in the marketplace.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December 31, 2020, we had 11 full-time employees managing our intellectual property, operations and other corporate activities, as well as performing certain essential functions of a public company. All of our employees were based in the United States. None of our employees are covered by a collective bargaining agreement, and we consider our relationship with our employees to be good. As a result of the dissolution process, our human capital resources objectives include, retaining, and incentivizing our management team and other employees as we continue our monetization strategy. For example, the Compensation Committee of the Board adopted a Wind Down Retention Plan in which our executive officers and other employees were eligible to participate. Under the Wind Down Retention Plan, participants have been eligible to earn a retention benefit in consideration for their continued employment with us as we continue our monetization strategy and dissolution process.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PDL</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were incorporated under the laws of the state of Delaware in 1986 under the name Protein Design Labs, Inc. In 2006, we changed our name to PDL BioPharma, Inc. Our business previously included a biotechnology operation that was focused on the discovery and development of novel antibodies. We spun-off the operation to our stockholders as Facet Biotech Corporation (“Facet”) in December 2008. Our principal executive offices are located at 10585 Double R Boulevard, Reno, Nevada, 89521, (775) 832-8500, and our website address is www.pdl.com. The information in or accessible through our website is not incorporated into, and is not considered part of, this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file electronically with the SEC our Annual Reports on Form 10-K, Quarterly Reports on Form 10-Q and Current Reports on Form 8-K pursuant to Section 13(a) or 15(d) of the Securities Exchange Act of 1934, as amended (the “Exchange Act”). The SEC maintains an Internet site that contains reports, proxy and information statements, and other information regarding issuers that file electronically with the SEC. The address of that website is www.sec.gov.</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make available free of charge on or through our website at www.pdl.com our Annual Reports on Form 10-K, Quarterly Reports on Form 10-Q, Current Reports on Form 8-K and proxy statements, as well as amendments to these reports and statements, as soon as practicable after we have electronically filed such material with, or furnished them to, the SEC. You may</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8" w:right="379" w:bottom="1440" w:gutter="0" w:footer="0" w:header="0"/>
        </w:sectPr>
      </w:pPr>
    </w:p>
    <w:bookmarkStart w:id="8" w:name="page9"/>
    <w:bookmarkEnd w:id="8"/>
    <w:p>
      <w:pPr>
        <w:ind w:right="120"/>
        <w:spacing w:after="0" w:line="277" w:lineRule="auto"/>
        <w:rPr>
          <w:sz w:val="20"/>
          <w:szCs w:val="20"/>
          <w:color w:val="auto"/>
        </w:rPr>
      </w:pPr>
      <w:r>
        <w:rPr>
          <w:rFonts w:ascii="Arial" w:cs="Arial" w:eastAsia="Arial" w:hAnsi="Arial"/>
          <w:sz w:val="18"/>
          <w:szCs w:val="18"/>
          <w:color w:val="auto"/>
        </w:rPr>
        <w:t>also obtain copies of these filings free of charge by calling us at (775) 832-8500. The information in or accessible through the SEC and our website is not incorporated into, and is not considered part of, this filing.</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8, 2021, we filed a Form 15 notifying the SEC of deregistration of our common stock under Section 12(g) of the Exchange Act and suspension of our duty to file reports under Sections 13 and 15(d) of the Exchange Act.</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sectPr>
      </w:pPr>
    </w:p>
    <w:bookmarkStart w:id="9" w:name="page10"/>
    <w:bookmarkEnd w:id="9"/>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Set forth below and elsewhere in this Annual Report on Form 10-K and in other documents we file with the Securities and Exchange Commission (SEC) are descriptions of the risks and uncertainties that could cause our actual results to differ materially from the results contemplated by forward looking statements contained in this Annual Report on Form 10-K. You should carefully consider and evaluate all of the information included in this report, including the risk factors set forth. The following is not an exhaustive discussion of all of the risks facing our company. Additional risks not presently known to us or that we currently deem immaterial may impair our wind-down.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Dissolution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assurances as to the amount of distributions, if any, to be made to our stockholders.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filed for dissolution in January of 2021 and intend to use the dissolution process under Delaware law to liquidate our remaining assets, settle claims and, if available, make liquidating distributions of cash or other property to our stockholders. However, our dissolution and the liquidation of our remaining assets will be subject to uncertainties, and it is possible that there will be no additional liquidating distribution made to our stockholders.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intend to rely on the “safe harbor” procedures under Sections 280 and 281(a) of the Delaware General Corporation Law (the DGCL) to, among other things, obtain an order from the Delaware Court of Chancery (the Court Order) establishing the amount and form of security for pending claims for which the Company is a party, contingent or unmatured contract claims for which the holder declined the Company’s offer of a security, and unknown claims that, based on facts known to the Company, are likely to arise or become known within five years from the filing of the Certificate of Dissolution (or such longer period of time, not to exceed ten years, as the Delaware Court of Chancery may determine), and pay or make reasonable provision for our uncontested known claims and expenses and establish reserves for other claims as required by the Court Order and the DGCL. We expect to distribute all of our remaining assets in excess of the amount to be used by us to pay claims and fund the reserves required by the Court Order and pay our operating expenses through the completion of the dissolution and winding-down process to our stockholders. The Court Order will reflect the Delaware Court of Chancery’s own determination as to the amount and form of security reasonably likely to be sufficient to provide compensation for all known, contingent and potential future claims against us. There can be no assurances that the Delaware Court of Chancery will not require us to withhold additional amounts in excess of the amounts that we believe are sufficient to satisfy our potential claims and liabilities. Accordingly, stockholders may not receive any distributions of our remaining assets, if any, for a substantial period of time.</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there are numerous factors that could impact the amount of the reserves to be determined by the Court Order, and consequently the amount of cash initially available for distribution, if any, to our stockholders following the filing of the Certificate of Dissolution, including without limitation: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any claim is resolved or barred pursuant to Section 280 of the DGCL;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unanticipated costs relating to the defense, satisfaction or settlement of existing or future lawsuits or other claims threatened against us;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unforeseen claims are asserted against us, in which case we would have to defend or resolve such claims and/or be required to establish additional reserves to provide for such claims;</w:t>
      </w: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time it will take us to liquidate all of our remaining non-cash assets, and the amount of any costs and expenses that may be incurred in connection therewith;</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cash collected from amounts due from previous asset sales, such as our sale of Noden to Stanley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to complete any tax audits for tax years impacted by amounts claimed under the CARES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value, if any, we are able to obtain for our remaining non-cash assets in our monetization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our royalty assets, for the next couple of years, and afterwards if retained in a liquidation trust, continue to perform as expected; and</w:t>
      </w:r>
    </w:p>
    <w:p>
      <w:pPr>
        <w:spacing w:after="0" w:line="20" w:lineRule="exact"/>
        <w:rPr>
          <w:rFonts w:ascii="Arial" w:cs="Arial" w:eastAsia="Arial" w:hAnsi="Arial"/>
          <w:sz w:val="17"/>
          <w:szCs w:val="17"/>
          <w:color w:val="auto"/>
        </w:rPr>
      </w:pPr>
    </w:p>
    <w:p>
      <w:pPr>
        <w:ind w:left="660" w:right="20" w:hanging="328"/>
        <w:spacing w:after="0" w:line="323"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any of the expenses incurred in the winding-down process, including expenses of required personnel and other operating expenses (including legal, accounting and other professional fees) necessary to dissolve and liquidate the Company, are more or less than our estimates.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the amount of any distributable proceeds and our ability to make distributions to our stockholders depend on our ability to execute our monetization strategy for our remaining non-cash assets, which is subject to significant risks and uncertainties, as further discussed in other risk factors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In addition, as we wind down, we will continue to incur costs to manage the remaining business, such as salaries and other employee compensation, rental payments, insurance, and taxes, contractual obligations to current and former employees (e.g., true-up payments to holders of stock options that vested prior to the filing for dissolution) and other legal, accounting, financial advisory and consultant fees, which will reduce any amounts available for distribution to our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and other factors, we cannot assure you as to any amounts to be distributed to our stockholders in dissolution.</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Liquidating distributions to stockholders could be substantially reduced and/or delayed due to uncertainty regarding the resolution of potential tax claims, litigation matters and other unresolved contingent liabilities of the Company.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Whether any remaining assets of the Company can be used to make liquidating distributions to stockholders would depend on whether claims for which we have set aside reserves are resolved or satisfied at amounts less than such reserves and whether a need has arisen to establish additional reserves. For example, we are subject to tax audits by the California Franchise Tax Board that have yet to be resolved, and the timing for resolution of such audits is uncertain. We cannot assure stockholders that our liabilities can be resolved for less than the amounts we have reserved, that unknown liabilities that have not been accounted for will not arise or the timing with respect to resolution of any such liabilities or claims. As a result, we may continue to hold back funds and delay additional liquidating distributions to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predict the timing of the distributions to stockholders.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DGCL, before a dissolved corporation may make any distribution to its stockholders, it must pay or make reasonable provision to pay all of its claims and obligations, including all contingent, conditional or unmatured contractual claims known to the corporation. The precise amount and timing of any distributions to our stockholders will depend on and could be delayed or diminished due to many factors, including without limitation:</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 claim is resolved for more than the amount of reserve established for such claim pursuant to the Court Order;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we are unable to resolve claims with creditors or other third parties, or if such resolutions take longer than expected;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 creditor or other third party seeks an injunction against the making of additional distributions to stockholders on the basis that the amounts to be distributed are needed to satisfy our liabilities or other obligations to the extent not previously reserved for;</w:t>
      </w: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due to new facts and developments, new claims, as the Board reasonably determines, require additional funds to be reserved for their satisfaction; and</w:t>
      </w:r>
    </w:p>
    <w:p>
      <w:pPr>
        <w:ind w:left="660" w:right="2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expenses we incur in the winding-down process, including expenses of personnel required and other expenses (including legal, accounting and other professional fees) necessary to dissolve and liquidate the Company are more than anticipated.</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and other factors, it might take significant time to resolve these matters, and as a result we are unable to predict the timing of distributions, if any, made to our stockholders.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dissolution pursuant to the Plan of Dissolution may be disrupted and adversely impacted by the effects of natural disasters, political crises, public health crises, and other events outside of our control.</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Natural disasters, such as adverse weather, fires, earthquakes, power shortages and outages, political crises, such as terrorism, war, political instability, or other conflict, criminal activities, public health crises, such as the COVID-19 pandemic and other disease epidemics and pandemics, and other disruptions or events outside of our control could negatively affect our operations and our ability to monetize our remaining assets or realize the estimated value of our net assets in liquidation. Any of these events may cause a delay in our ability to make distributions in dissolution, and may materially impact the amount of cash or value of other non-cash assets available to distribute to our stockholders, if any.</w:t>
      </w:r>
    </w:p>
    <w:p>
      <w:pPr>
        <w:spacing w:after="0" w:line="19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be liable to our creditors for part or all of the amount received from us in our liquidating distributions if reserves are inadequate.</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dissolution we may establish a contingency reserve designed to satisfy any additional claims and obligations that may arise. Any contingency reserve may not be adequate to cover all of our claims and obligations. Under the DGCL, if we fail to create an adequate contingency reserve for payment of our expenses, claims and obligations, each stockholder could be held liable for payment to our creditors for claims brought during this three-year period after we filed the Certificate of Dissolution with the Secretary of State, up to the lesser of (i) such stockholder’s pro rata share of amounts owed to creditors in excess of the contingency reserve and (ii) the amounts previously received by such stockholder in dissolution from us and from any liquidating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 w:name="page12"/>
    <w:bookmarkEnd w:id="11"/>
    <w:p>
      <w:pPr>
        <w:jc w:val="both"/>
        <w:spacing w:after="0" w:line="291" w:lineRule="auto"/>
        <w:rPr>
          <w:sz w:val="20"/>
          <w:szCs w:val="20"/>
          <w:color w:val="auto"/>
        </w:rPr>
      </w:pPr>
      <w:r>
        <w:rPr>
          <w:rFonts w:ascii="Arial" w:cs="Arial" w:eastAsia="Arial" w:hAnsi="Arial"/>
          <w:sz w:val="16"/>
          <w:szCs w:val="16"/>
          <w:color w:val="auto"/>
        </w:rPr>
        <w:t>trust or trusts. Accordingly, in such event, a stockholder could be required to return part or all of the distributions previously made to such stockholder in dissolution, and a stockholder could receive nothing from us under the Plan of Dissolution. Moreover, if a stockholder has paid taxes on amounts previously received, a repayment of all or a portion of such amounts received could result in a situation in which such repayment does not result in a commensurate refund of such taxes paid. As a result, while we intend to use the protections of DGCL Sections 280 and 281(a), including having a court order approve distributions, it is important for us to retain sufficient funds through our dissolution to pay the expenses and liabilities actually owed to our creditors because if we fail to do so, each stockholder could be held liable for the repayment to creditors out of the amounts previously distributed to such stockholder from us or from any liquidating trust or trusts, up to the full amount actually received by such stockholder in our dissolution.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directors and officers of the Company will continue to receive benefits from the Company during the dissolution.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dissolution, we will continue to indemnify each of our current and former directors and officers to the extent permitted under the DGCL and the Company’s certificate of incorporation, bylaws and agreements as in effect at the time of the filing of the Certificate of Dissolution.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Further stockholder approval will not be required in connection with the implementation of our Plan of Dissolution, including for the sale or disposition of any of our remaining assets.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Plan of Dissolution provides that we may sell our remaining assets after dissolution, as necessary to affect our Plan of Dissolution. Under our Plan of Dissolution, we will not seek and are not required to seek additional stockholder authorization of any future asset sale. As a result, the Board may authorize actions in implementing the Plan of Dissolution, including the terms and prices for the sale or disposition of our remaining assets, with which our stockholders may not agree.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ceased to be traded at the time of our dissolution.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closed our stock transfer books of our common stock after our dissolution became effective at approximately 4:00 p.m., Eastern time on January 4, 2021 (the “Final Record Date”). Therefore, shares of our common stock are no longer freely transferable. As a result of the closing of the stock transfer books, all liquidating distributions from a liquidating trust, if any, or from us after the Final Record Date will be made pro rata to the stockholders of record as of the Final Record Date.</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not and do not intend to record any assignments or transfers of our common stock after the Final Record Date, other than as required by will, intestate succession or operation of law. We have been informed that after the Final Record Date some shares of our common stock have been traded under contractual obligations between the seller and purchaser of the stock, who negotiate and rely on themselves with respect to the allocation of stockholder proceeds arising from ownership of the shares. We are not facilitating or participating in the trading in our common stock or interests in proceeds from our liquidation. Accordingly, trading in our stock is highly speculative and the market for our stock is highly illiquid. As we are no longer an operating company, the only value underlying the trading price of our shares is the right to receive further distributions, if any, as part of the liquidation process. Because of the difficulty in estimating the amount and timing of the liquidating distributions and due to the other risk factors discussed herein, the economic interests derived from our common stock may be subject to significant volatility and may trade above or below the amount of any future liquidating distribution that may be made.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personnel could adversely affect our ability to efficiently dissolve, liquidate and wind down.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rely on a few individuals in key management roles to dissolve, liquidate our remaining assets and wind-down operations. Loss of one or more of these key individuals could hamper the efficiency or effectiveness of these processes.</w:t>
      </w:r>
    </w:p>
    <w:p>
      <w:pPr>
        <w:spacing w:after="0" w:line="19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Our remaining licensees, borrowers and royalty-agreement counterparties may be unable to maintain regulatory approvals for their products, or to obtain regulatory approvals or favorable pricing for new products, and they may voluntarily remove products from marketing and commercial distribution. Any of such events, whether due to safety issues or other factors, could limit our revenues or return on investment. or our ability to generate expected returns from the monetization of such assets, including their sale, and reduce resulting distributions to our stockholders in dissolution.</w:t>
      </w:r>
    </w:p>
    <w:p>
      <w:pPr>
        <w:spacing w:after="0" w:line="214"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Our licensees, borrowers and royalty-agreement counterparties are subject to stringent regulation with respect to product safety and efficacy by various international, federal, state and local authorities. Even if our licensees’, borrowers’ and royalty-agreement counterparties’ products receive regulatory approval, they will remain subject to ongoing FDA and other international regulations including, but not limited to, obligations to conduct additional clinical trials or other testing, changes to the product label, new or revised regulatory requirements for manufacturing practices, written advisements to physicians and/or a product recall or</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2" w:name="page13"/>
    <w:bookmarkEnd w:id="12"/>
    <w:p>
      <w:pPr>
        <w:ind w:right="120"/>
        <w:spacing w:after="0" w:line="275" w:lineRule="auto"/>
        <w:rPr>
          <w:sz w:val="20"/>
          <w:szCs w:val="20"/>
          <w:color w:val="auto"/>
        </w:rPr>
      </w:pPr>
      <w:r>
        <w:rPr>
          <w:rFonts w:ascii="Arial" w:cs="Arial" w:eastAsia="Arial" w:hAnsi="Arial"/>
          <w:sz w:val="17"/>
          <w:szCs w:val="17"/>
          <w:color w:val="auto"/>
        </w:rPr>
        <w:t>withdrawal. Our licensees, borrowers and royalty-agreement counterparties may not maintain necessary regulatory approvals for their existing products. Moreover, the current political environment in the United States is focused on potential reductions in pricing for pharmaceutical and other healthcare products, which may negatively impact any existing or new products from which our revenues would be derived. We are unable to control the pricing strategies used by our licensees, borrowers and royalty-agreement counterparties, and if they fail to use appropriate pricing strategies, or receive negative reactions to their pricing strategies, it could negatively impact our revenues or return on investment.</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communications from government officials regarding pricing for pharmaceutical and other health care products could have a negative impact on the value of the assets we intend to monetize, even if such communications do not ultimately impact our borrowers’ and royalty-agreement counterparties’ products. The occurrence of adverse events reported by any borrower or royalty-agreement counterparty may result in the revocation of regulatory approvals or decreased sales of the applicable product due to a change in physicians’ willingness to prescribe, or patients’ willingness to use the applicable product. Our borrowers and royalty-agreement counterparties could also choose to voluntarily remove licensed products from marketing and commercial distribution. Any value we may receive upon a potential transaction in furtherance of our monetization strategy in dissolution could be materially and adversely affected.</w:t>
      </w:r>
    </w:p>
    <w:p>
      <w:pPr>
        <w:spacing w:after="0" w:line="21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value of our remaining income generating royalty assets may be dependent on the actions of unrelated third parties, which may negatively impact the value we are able to realize in dissolution.</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our income generating assets, we are dependent, to a large extent, on third parties to enforce certain rights for our benefit. For example, Assertio (formerly Depomed), as the licensor of certain patents, retains various rights, including the contractual right to audit its licensees and to ensure those licensees are complying with the terms of the underlying license agreements. Assertio also retained full responsibility to protect and maintain the intellectual property rights underlying the licenses. While we have contractual rights to require Assertio to take action regarding certain of these rights, because Assertio’s economic interest in the license agreements is limited, it may not enforce or protect those rights as it otherwise would have had it retained the full economic interest in the payments under the license agreements.</w:t>
      </w:r>
    </w:p>
    <w:p>
      <w:pPr>
        <w:spacing w:after="0" w:line="20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royalty-agreement counterparties face significant market pressures with respect to their products, and the amount of revenues from their pharmaceutical products or medical devices, or from our income generating assets that we receive are subject to various competitive and market factors, including generic competitors, that may be outside of our control.</w:t>
      </w:r>
    </w:p>
    <w:p>
      <w:pPr>
        <w:spacing w:after="0" w:line="2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royalty-agreement counterparties face competition from other pharmaceutical companies. The introduction of new competitive products, including generics, may result in lost market share for our royalty-agreement counterparties, reduced use of their products, lower prices and/or reduced sales, any of which could reduce our royalty revenues, and have a material adverse effect on any realized value we may obtain in connection with the evaluation of potential transactions to monetize such remaining assets in dissolution.</w:t>
      </w:r>
    </w:p>
    <w:p>
      <w:pPr>
        <w:spacing w:after="0" w:line="21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amounts we are able to realize from any transaction in furtherance of our monetization of our remaining assets, and the amount of cash or other assets we are able to distribute our stockholders in dissolution, will depend on many factors, including the following:</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availability of generic product competition for our royalty-agreement counterparties’ products;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challenges or design-arounds to product, use or manufacturing related patents which provide exclusivity for products and assets before their expiration by generic pharmaceutical manufacturers;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of the market for our royalty-agreement counterparties’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and effectiveness of the sales and marketing and distribution support for our royalty-agreement counterparties’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existence of novel or superior products to our royalty-agreement counterparties’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reduced pricing and discounts applicable to our royalty-agreement counterparties’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stocking and inventory management practices related to our royalty-agreement counterparties’ products;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indications for which our royalty-agreement counterparties’ products can be marketed; the competitive landscape for approved products and developing therapies that compete with royalty-agreement counterparties’ products;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ability of patients to be able to afford our royalty-agreement counterparties’ products or obtain healthcare coverage that covers those products;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and ongoing satisfaction with, our royalty-agreement counterparties’ products by the care providers, patients receiving therapy and third-party payors; or</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unfavorable outcome (or potential thereof) of any litigation relating to our royalty-agreement counterparties’ business practices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t>For example, in mid-2019, Bausch Health announced expected price decreases on Glumetza, a royalty-bearing product under our Assertio Royalty Agreement. These price decreases could negatively affect revenues and thus our royalties. Due to the uncertainties caused by changes in pricing by third parties that are outside our control, including as a result of generic competition, we may not be able to accurately estimate the impact on royalties on such sales paid to us for Glumetza or any other product.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We are also aware of a number of approved generic extended-release metformin products, which could further negatively affect Glumetza revenues.</w:t>
      </w:r>
    </w:p>
    <w:p>
      <w:pPr>
        <w:spacing w:after="0" w:line="2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of these factors may have a material and adverse effect on our ability to realize significant value for our remaining royalty assets and negatively affect the amount of cash or other assets we are able to distribute to our stockholders in dissolution.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realize certain expected tax benefits.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2020, we engaged in certain transactions that may result in the recognition of ordinary tax losses. Such losses, through provisions of the CARES Act, could generate meaningful tax benefits to the Company as the CARES Act permits taxpayers to carry back five years any net operating losses arising in a taxable year beginning in 2018, 2019 or 2020. In connection with our monetization process, we have executed transactions that result in ordinary tax losses that could be applied to prior tax years in which PDL was a substantial tax payor. There can be no assurance that such tax benefits will be realized as expected. For example, in February 2021, a letter was sent to congressional leaders signed by 120 members of Congress that proposed retroactively repealing the net operating loss carry back provisions of the CARES Act. If these provisions were retroactively repealed, it would likely have a material adverse effect on the amount of tax benefits that may be available to us under the current provisions of the CARES Act. Any failure to obtain such expected tax benefits under the CARES Act would likely reduce the funds available for distribution to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Stockholders may not be able to recognize a loss for U.S. federal income tax purposes until they receive a final distribution from us.</w:t>
      </w: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Distributions made pursuant to the Plan of Dissolution are intended to be treated as received by a U.S. stockholder in exchange for the U.S. stockholder’s shares of our common stock. Accordingly, the amount of any such distribution allocable to a block of shares of our common stock owned by the U.S. stockholder will reduce the U.S. stockholder’s tax basis in such shares, but not below zero. Any excess amount allocable to such shares will be taxable as capital gain. Such gain generally will be taxable as long-term capital gain if the shares have been held for more than one year. Any tax basis remaining in a share of our common stock following the final liquidating distribution by the Company will be treated as a capital loss. The deductibility of capital losses is subject to limitations. U.S. stockholders should consult their tax advisors as to the particular tax consequences of our dissolution for them, including the applicability of any U.S. federal, state, local and non-U.S. tax laws.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tax treatment of any liquidating distribution may vary from stockholder to stockholder.</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not requested a ruling from the IRS with respect to the anticipated tax consequences of our complete dissolution and liquidation, and we will not seek an opinion of counsel with respect to the anticipated tax consequences of any liquidating distributions. If any of the anticipated tax consequences prove to be incorrect, the result could be increased taxation at the corporate or stockholder level, thus reducing the benefit to our stockholders and us from our dissolution and liquidation. Tax considerations applicable to particular stockholders may vary with and be contingent on the stockholder’s individual circumstances. Stockholders should consult with their own tax advisors for tax advice on our dissolution and liquidation’s impact on their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Failure to protect our information technology infrastructure against cyber-based attacks, network security breaches, service interruptions or data corruption could materially disrupt our operations and adversely affect our business and operating results.</w:t>
      </w:r>
    </w:p>
    <w:p>
      <w:pPr>
        <w:spacing w:after="0" w:line="19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rely on our information technology systems to effectively manage all business activities and data, including accounting, financial and legal functions, asset management and business development. Our information technology systems are vulnerable to damage or interruption from earthquakes, fires, floods and other natural disasters, terrorist attacks, power losses, computer system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 w:name="page15"/>
    <w:bookmarkEnd w:id="14"/>
    <w:p>
      <w:pPr>
        <w:jc w:val="both"/>
        <w:ind w:right="240"/>
        <w:spacing w:after="0" w:line="270" w:lineRule="auto"/>
        <w:rPr>
          <w:sz w:val="20"/>
          <w:szCs w:val="20"/>
          <w:color w:val="auto"/>
        </w:rPr>
      </w:pPr>
      <w:r>
        <w:rPr>
          <w:rFonts w:ascii="Arial" w:cs="Arial" w:eastAsia="Arial" w:hAnsi="Arial"/>
          <w:sz w:val="17"/>
          <w:szCs w:val="17"/>
          <w:color w:val="auto"/>
        </w:rPr>
        <w:t>or data network failures, security breaches, data corruption and cyber-based attacks, including malicious software programs or other attacks, which have been attempted against us in the past. In addition, a variety of our software systems are cloud-based data management applications, hosted by third-party service providers whose security and information technology systems are subject to similar risks.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failure to protect either our or our service providers’ information technology infrastructure could disrupt our entire operation or result in our inability to manage and monetize our remaining assets, increased overhead costs, loss or misuse of proprietary or confidential information, intellectual property or sensitive or personal information, all of which could have a material adverse effect on our business and affect the amount of cash or other assets we may be able to distribute to our stockholders in dissolution.</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lease approximately 1,750 square feet of office space in Reno, Nevada, which serves as our corporate headquarters. The lease expires in December 2022. Previously, we leased approximately 5,900 square feet of office space in Incline Village, Nevada, which served as our corporate headquarters until December 31, 2020 when the lease was terminated.</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July 2006, we entered into two leases and a sublease for facilities in Redwood City, California, which formerly served as our corporate headquarters and cover approximately 450,000 square feet of office space. Under the amendments to the leases entered into in connection with the spin-off of Facet, Facet was added as a co-tenant under the leases. As a co-tenant, Facet is bound by all of the terms and conditions of the leases. We and Facet are jointly and severally liable for all obligations under the leases, including the payment of rental obligations. The guarantee runs through December 2021. We also entered into a Co-Tenancy Agreement with Facet in connection with the spin-off and the lease amendments under which we assigned to Facet all rights under the leases, including, but not limited to, the right to amend the leases, extend the lease terms or terminate the leases, and Facet assumed all of our obligations under the leases. Under the Co-Tenancy Agreement, we also relinquished any right or option to regain possession, use or occupancy of these facilities. Facet agreed to indemnify us for all matters associated with the leases attributable to the period after the spin-off date and we agreed to indemnify Facet for all matters associated with the leases attributable to the period before the spin-off date. In addition, in connection with the spin-off, we assigned the sublease to Facet. In April 2010, Abbott Laboratories acquired Facet and later renamed the entity AbbVie Biotherapeutics, Inc. (“AbbVie”). To date, AbbVie has satisfied all obligations under the Redwood City leases.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existing facilities are adequate to meet our business requirements for the reasonably foreseeable future.</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 xml:space="preserve">The information set forth in Note 25,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to the Consolidated Financial Statements included in Item 8, “Financial Statements and Supplementary Data” of this Annual Report is incorporated by reference herein.</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9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On December 8, 2020, we formally notified the Nasdaq Stock Market, Inc. of our intent to delist the Company's common stock from the Nasdaq Global Select Market ("Nasdaq"). We filed a Form 25 (Notification of Removal from Listing) with the SEC and Nasdaq relating to the voluntary delisting of our common stock on December 28, 2020 and suspended trading of our common stock prior to the opening of trading on December 31, 2020. We filed a certificate of dissolution with the Delaware Secretary of State on January 4, 2021 (the “Final Record Date”) and instructed our transfer agent to close our stock transfer books at the close of business on this date. PDL's common stock was delisted effective on January 7, 2021. On January 8, 2021, we filed a Form 15 notifying the SEC of our deregistration of our common stock under Section 12(g) of the Exchange Act and suspension of our duty to file reports under Sections 13 and 15(d) of the Exchange Act.</w:t>
      </w:r>
    </w:p>
    <w:p>
      <w:pPr>
        <w:spacing w:after="0" w:line="204"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As of January 6, 2021, we had approximately 86 common stockholders of record. Most of our outstanding shares of common stock are held of record by one stockholder, Cede &amp; Co., as nominee for the Depository Trust Company. Many brokers, banks and other institutions hold shares of common stock as nominees for beneficial owners that deposit these shares of common stock in participant accounts at the Depository Trust Company. The actual number of beneficial owners of our stock is likely significantly greater than the number of stockholders of record; however, we are unable to reasonably estimate the total number of beneficial owners.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May 5, 2020, our board of directors approved a distribution of all of the Company’s shares of common stock of Evofem Biosciences, Inc. (“Evofem”) via a special one-time dividend to PDL stockholders. The Evofem shares were distributed on May 21, 2020 to PDL shareholders of record as of the close of business on May 15, 2020 (the “Evofem Record Date”). Based on the shares of PDL common stock outstanding as of the close of business on the Evofem Record Date, PDL stockholders were entitled to receive 0.11591985 shares of Evofem common stock for each share of PDL common stock held.</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September 10, 2020, our board of directors approved a distribution of all of the Company’s shares of common stock of LENSAR via a special one-time dividend to PDL stockholders. The LENSAR shares were distributed on October 2, 2020 to PDL shareholders of record as of the close of business on September 22, 2020 (the “LENSAR Record Date”). Based on the shares of PDL common stock outstanding as of the close of business on the LENSAR Record Date, PDL stockholders were entitled to receive 0.075879 shares of LENSAR common stock for each share of PDL common stock held.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Part III, Item 12, “Security Ownership of Certain Beneficial Owners and Management and Related Stockholder Matters” for information regarding securities authorized for issuance under equity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made by us in the three months ended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Stockholder Returns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line graph below compares the cumulative total stockholder return on our common stock between December 31, 2015, and December 31, 2020, with the cumulative total return of (i) the Nasdaq Biotechnology Index and (ii) the Nasdaq Composite Index over the same period. This graph assumes that $100.00 was invested on December 31, 2015, in our common stock at the closing sales price for our common stock on that date and at the closing sales price for each index on that date and that all dividends were reinvested. Stockholder returns over the indicated period should not be considered indicative of future stockholder returns and are not intended to be a forecast.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1176655</wp:posOffset>
            </wp:positionH>
            <wp:positionV relativeFrom="page">
              <wp:posOffset>603250</wp:posOffset>
            </wp:positionV>
            <wp:extent cx="5194935" cy="4286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194935"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12/31/2015</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12/31/2016</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12/31/2017</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12/31/2018</w:t>
            </w: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12/31/2019</w:t>
            </w: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12/31/2020</w:t>
            </w:r>
          </w:p>
        </w:tc>
      </w:tr>
      <w:tr>
        <w:trPr>
          <w:trHeight w:val="222"/>
        </w:trPr>
        <w:tc>
          <w:tcPr>
            <w:tcW w:w="2500" w:type="dxa"/>
            <w:vAlign w:val="bottom"/>
          </w:tcPr>
          <w:p>
            <w:pPr>
              <w:ind w:left="20"/>
              <w:spacing w:after="0"/>
              <w:rPr>
                <w:sz w:val="20"/>
                <w:szCs w:val="20"/>
                <w:color w:val="auto"/>
              </w:rPr>
            </w:pPr>
            <w:r>
              <w:rPr>
                <w:rFonts w:ascii="Arial" w:cs="Arial" w:eastAsia="Arial" w:hAnsi="Arial"/>
                <w:sz w:val="18"/>
                <w:szCs w:val="18"/>
                <w:color w:val="auto"/>
              </w:rPr>
              <w:t>PDL BioPharma, Inc.</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95.29</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271.64</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Nasdaq Biotechnology Index</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137.90</w:t>
            </w: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section shall not be deemed to be “soliciting material” or to be “filed” with the SEC, nor shall such information be incorporated by reference into any future filing under the Securities Act of 1933, as amended, or the Securities Exchange Act of 1934, as amended, except to the extent that we specifically incorporate it by reference in such filing.</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7" w:name="page18"/>
    <w:bookmarkEnd w:id="17"/>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and related Notes included elsewhere in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Throughout our history, our mission has been to improve the lives of patients by aiding in the successful development of innovative therapeutics and healthcare technologies. PDL BioPharma was founded in 1986 as Protein Design Labs, Inc. when it pioneered the humanization of monoclonal antibodies, enabling the discovery of a new generation of targeted treatments that have had a profound impact on patients living with different cancers as well as a variety of other debilitating diseases. In 2006, we changed our name to PDL BioPharma, Inc.</w:t>
      </w:r>
    </w:p>
    <w:p>
      <w:pPr>
        <w:spacing w:after="0" w:line="19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Historically, we generated a substantial portion of our revenues through the license agreements related to patents covering the humanization of antibodies, which we refer to as the Queen et al. patents. In 2012, and in anticipation of declining revenues from the Queen et al. patents, we began providing alternative sources of capital through royalty monetization and debt facilities, and, in 2016, we began acquiring commercial-stage products and launching specialized companies dedicated to the commercialization of these products, first with our acquisition of branded prescription pharmaceutical drugs from Novartis in 2016 and, in 2017, with the acquisition of LENSAR, a medical device ophthalmology equipment manufacturing company. In 2019, we entered into a securities purchase agreement with Evofem pursuant to which we invested $60.0 million in a private placement of securities. These investments provided funding for Evofem’s pre-commercial activities for Phexxi</w:t>
      </w:r>
      <w:r>
        <w:rPr>
          <w:rFonts w:ascii="Arial" w:cs="Arial" w:eastAsia="Arial" w:hAnsi="Arial"/>
          <w:sz w:val="20"/>
          <w:szCs w:val="20"/>
          <w:color w:val="auto"/>
          <w:vertAlign w:val="superscript"/>
        </w:rPr>
        <w:t>®</w:t>
      </w:r>
      <w:r>
        <w:rPr>
          <w:rFonts w:ascii="Arial" w:cs="Arial" w:eastAsia="Arial" w:hAnsi="Arial"/>
          <w:sz w:val="16"/>
          <w:szCs w:val="16"/>
          <w:color w:val="auto"/>
        </w:rPr>
        <w:t>, its non-hormonal, on-demand prescription contraceptive gel for women.</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Based on the nature of our investments entered into between 2012 through 2019 and further discussed below, our operations were structured in four segments designated as Medical Devices, Strategic Positions, Income Generating Assets, and Pharmaceutical.</w:t>
      </w:r>
    </w:p>
    <w:p>
      <w:pPr>
        <w:spacing w:after="0" w:line="192"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Our Medical Devices segment consisted of revenue from the sale and lease of the LENSAR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Laser System, which included equipment, PIDs, procedure licenses, training, installation, warranty and maintenance agreements.</w:t>
      </w: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Strategic Positions segment consisted of an investment in Evofem (NASDAQ: EVFM). Our investment included shares of common stock and warrants to purchase additional shares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Pharmaceutical segment consisted of revenue derived from the Noden Products.</w:t>
      </w:r>
    </w:p>
    <w:p>
      <w:pPr>
        <w:spacing w:after="0" w:line="25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Income Generating Assets segment consisted of revenue derived from (i) notes and other long-term receivables, (ii) royalty rights and hybrid notes/royalty receivables, (iii) equity investments and (iv) royalties from issued patents in the United States and elsewhere covering the humanization of antibodies, which we refer to as the Queen et al. patents.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Financial information about our segments, including our revenues and net loss for the eight months ended August 31, 2020 and the years ended December 31, 2019 and 2018, and select long-lived assets as of December 31, 2020 and 2019, is included in our Consolidated Financial Statements and accompanying notes in this Form 10-K.</w:t>
      </w:r>
    </w:p>
    <w:p>
      <w:pPr>
        <w:spacing w:after="0" w:line="21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September 2019, we engaged financial and legal advisors and initiated a review of our strategy. This review was completed in December 2019. At such time, we disclosed that we planned to halt the execution of our growth strategy, cease making additional strategic transactions and investments and instead pursue a formal process to unlock the value of our portfolio by monetizing our assets and ultimately distributing net proceeds to stockholders (the “monetization strategy”). Pursuant to our monetization strategy, we did not expect to enter into any additional strategic investments. We further announced in December 2019 that we would explore a variety of potential transactions in connection with the monetization strategy, including a whole Company sale, divestiture of our assets, spin-offs of operating entities, merger opportunities or a combination thereof. Over the subsequent months, our board of directors (the “Board”) and management analyzed, together with our outside financial and legal advisors, how to best capture value pursuant to our monetization strategy and best return the significant intrinsic value of the assets in our portfolio to the stockholders.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2020, the Board approved a plan of complete liquidation (the “Plan of Liquidation”) of our assets and passed a resolution to seek stockholder approval to dissolve our Company. At our Annual Meeting of Stockholders in August 2020, the proposal to liquidate and dissolve our Company pursuant to a plan of dissolution was approved by our stockholders. On November 5, 2020, our Board approved filing a certificate of dissolution with the Secretary of State of Delaware in January 2021</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line="270" w:lineRule="auto"/>
        <w:rPr>
          <w:sz w:val="20"/>
          <w:szCs w:val="20"/>
          <w:color w:val="auto"/>
        </w:rPr>
      </w:pPr>
      <w:r>
        <w:rPr>
          <w:rFonts w:ascii="Arial" w:cs="Arial" w:eastAsia="Arial" w:hAnsi="Arial"/>
          <w:sz w:val="17"/>
          <w:szCs w:val="17"/>
          <w:color w:val="auto"/>
        </w:rPr>
        <w:t>and proceeding to complete the dissolution process for our Company in accordance with the Delaware General Corporate Law. The filing of the certificate of dissolution occurred on January 4, 2021 and we closed our stock transfer books as of such date (the “Final Record Date”). After such time, we are not recording any further transfers of our common stock, except pursuant to the provisions of a deceased stockholder’s will, intestate succession, or by operation of law and we will not issue any new stock certificates, other than replacement certificates. In addition, we will not be issuing any shares of our common stock upon exercise of outstanding stock options. As a result of the closing of our transfer books, it is anticipated that distributions, if any, made in connection with the dissolution will be made pro rata to the stockholders of record as of the Final Record Date. In accordance with our dissolution plan, we completed the voluntary delisting process from the Nasdaq Stock Market exchange so that suspension of trading occurred before the market opened on December 31, 2020 and official delisting of our stock occurred on January 7, 2021. We do not anticipate participating in any OTC trading of our stock or economic rights in our stock.</w:t>
      </w:r>
    </w:p>
    <w:p>
      <w:pPr>
        <w:spacing w:after="0" w:line="20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Pursuant to our monetization strategy, we explored a variety of potential transactions, including a whole Company sale, divestiture of assets, spin-offs of operating entities, merger opportunities or a combination thereof. In addition, we analyzed, and continue to analyze, optimal mechanisms for returning value to stockholders in a tax-efficient manner, including share repurchases, cash dividends and other distributions of assets. Despite the challenges of COVID-19, we made significant progress in our monetization strategy during 2020, including monetizing most of our key assets and resolving a longstanding legal issue as follows:</w:t>
      </w:r>
    </w:p>
    <w:p>
      <w:pPr>
        <w:spacing w:after="0" w:line="26" w:lineRule="exact"/>
        <w:rPr>
          <w:sz w:val="20"/>
          <w:szCs w:val="20"/>
          <w:color w:val="auto"/>
        </w:rPr>
      </w:pPr>
    </w:p>
    <w:p>
      <w:pPr>
        <w:ind w:left="660" w:right="2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2020, we made a liquidation distribution of all of our common stock in Evofem to our stockholders. As of December 31, 2020, we held warrants to purchase up to 3,333,334 shares of Evofem common stock with an exercise price of $6.38</w:t>
      </w:r>
    </w:p>
    <w:p>
      <w:pPr>
        <w:spacing w:after="0" w:line="8"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August 2020, we entered into a settlement agreement (the “ Settlement Agreement”) with related entities of Defined Diagnostics, LLC (f/k/a Wellstat Diagnostics, LLC) ("Wellstat Diagnostics" and, together with such related entities, the "Wellstat Parties") resolving previously reported litigation relating to loans made to Wellstat Diagnostics by us</w:t>
      </w:r>
    </w:p>
    <w:p>
      <w:pPr>
        <w:spacing w:after="0" w:line="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August 2020, we sold three royalty interests related to third party sales of Kybella</w:t>
      </w:r>
      <w:r>
        <w:rPr>
          <w:rFonts w:ascii="Arial" w:cs="Arial" w:eastAsia="Arial" w:hAnsi="Arial"/>
          <w:sz w:val="23"/>
          <w:szCs w:val="23"/>
          <w:color w:val="auto"/>
          <w:vertAlign w:val="superscript"/>
        </w:rPr>
        <w:t>®</w:t>
      </w:r>
      <w:r>
        <w:rPr>
          <w:rFonts w:ascii="Arial" w:cs="Arial" w:eastAsia="Arial" w:hAnsi="Arial"/>
          <w:sz w:val="18"/>
          <w:szCs w:val="18"/>
          <w:color w:val="auto"/>
        </w:rPr>
        <w:t>, Zalviso</w:t>
      </w:r>
      <w:r>
        <w:rPr>
          <w:rFonts w:ascii="Arial" w:cs="Arial" w:eastAsia="Arial" w:hAnsi="Arial"/>
          <w:sz w:val="23"/>
          <w:szCs w:val="23"/>
          <w:color w:val="auto"/>
          <w:vertAlign w:val="superscript"/>
        </w:rPr>
        <w:t>®</w:t>
      </w:r>
      <w:r>
        <w:rPr>
          <w:rFonts w:ascii="Arial" w:cs="Arial" w:eastAsia="Arial" w:hAnsi="Arial"/>
          <w:sz w:val="18"/>
          <w:szCs w:val="18"/>
          <w:color w:val="auto"/>
        </w:rPr>
        <w:t>, and Coflex</w:t>
      </w:r>
      <w:r>
        <w:rPr>
          <w:rFonts w:ascii="Arial" w:cs="Arial" w:eastAsia="Arial" w:hAnsi="Arial"/>
          <w:sz w:val="23"/>
          <w:szCs w:val="23"/>
          <w:color w:val="auto"/>
          <w:vertAlign w:val="superscript"/>
        </w:rPr>
        <w:t>®</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September 2020, we completed the previously announced sale of our interest in Noden DAC and Noden USA</w:t>
      </w:r>
    </w:p>
    <w:p>
      <w:pPr>
        <w:spacing w:after="0" w:line="47"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2020, we completed the previously announced spin-off of LENSAR whereby we made a liquidation distribution of all of our shares of LENSAR common stock to our stockholders as of September 22, 2020</w:t>
      </w:r>
    </w:p>
    <w:p>
      <w:pPr>
        <w:spacing w:after="0" w:line="20" w:lineRule="exact"/>
        <w:rPr>
          <w:rFonts w:ascii="Arial" w:cs="Arial" w:eastAsia="Arial" w:hAnsi="Arial"/>
          <w:sz w:val="18"/>
          <w:szCs w:val="18"/>
          <w:color w:val="auto"/>
        </w:rPr>
      </w:pPr>
    </w:p>
    <w:p>
      <w:pPr>
        <w:ind w:left="660" w:right="360" w:hanging="328"/>
        <w:spacing w:after="0" w:line="238"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In December 2020, we entered into a Capital Provision Agreement with Epps Investments LLC (“Epps”) regarding our previously announced Settlement Agreement with the Wellstat Parties whereby we sold all remaining amounts owed to us under the Settlement Agreement for consideration received</w:t>
      </w:r>
    </w:p>
    <w:p>
      <w:pPr>
        <w:spacing w:after="0" w:line="2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Settlement Agreement with the Wellstat Parties provided for the payment of $7.5 million upon the signing of the Settlement Agreement, which has been received, and either (1) $5.0 million by February 10, 2021 and $55.0 million by July 26, 2021; or (2) $67.5 million by July 26, 2021. Under the terms of the Settlement Agreement, failure by the Wellstat Parties to make payment in full by July 26, 2021, authorized us to record judgment against the Wellstat Parties for an amount of $92.5 million or such lesser amount as may be owed under the Settlement Agreement.</w:t>
      </w:r>
    </w:p>
    <w:p>
      <w:pPr>
        <w:spacing w:after="0" w:line="19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Capital Provision Agreement with Epps provided for the payment of $51.4 million, which was received on December 31, 2020, in exchange for 100% of the payments or other property or value received by PDL on or after the date of the Capital Provision Agreement pursuant to the Settlement Agreement.</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proceeds from the sale of the three royalty interests totaled $4.35 million, 90% of which was received at the closing of the transaction. The remaining 10% is currently held in escrow against certain potential contingencies and is to be released on the one-year anniversary of the closing, subject to the satisfaction of any such potential contingencies.</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July 30, 2020, we signed a definitive agreement for the sale of our interest in Noden DAC and Noden USA to CAT Capital Bidco Limited (“Stanley Capital”). In accordance with the terms of the agreement, we expect to receive consideration of up to $52.8 million. Stanley Capital made an initial cash payment to us of $12.2 million on the September 9, 2020 closing date. We are also entitled to recover $0.5 million related to value-added tax (“VAT”) for inventory purchases from Novartis. The agreement provides for an additional $33.0 million to be paid to us in twelve equal quarterly installments from January 2021 to October 2023, of which the first installment payment has been received. An additional $3.9 million will be paid in four equal quarterly installments from January 2023 to October 2023. The agreement also provides for the potential for additional contingent payments to us. We are entitled to receive $2.5 million upon Stanley Capital or any of its affiliates entering into a binding agreement for a specified transaction within one year of the closing date. We are also entitled to 50% of a license fee from a third party distributor within 10 days of receipt by Noden. Upon closing, we recorded a gain of $0.2 million. In connection with the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closing of the transaction, the guaranty agreement between Novartis and us which guaranteed certain payments owed to Novartis by Noden was terminated.</w:t>
      </w:r>
    </w:p>
    <w:p>
      <w:pPr>
        <w:spacing w:after="0" w:line="2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intend to pursue monetization of our remaining assets in a disciplined and cost-effective manner to maximize returns to stockholders. At the same time, we recognize that accelerating the timeline to complete our monetization process, while continuing to optimize asset value, could increase returns to stockholders due to reduced general and administrative expenses as well as provide for faster returns to stockholders. While we are cognizant that an accelerated timeline may provide greater and faster returns to our stockholders, we also recognize that the duration and extent of the public health issues related to the COVID-19 pandemic make it possible that the timing of the sale of all or substantially all of our remaining assets may require additional time to execute or for us to pursue alternatives to the sale of these assets. For example, if a suitable offer to purchase the remaining royalty assets is not received prior to completing the dissolution process, they could be ultimately placed in a liquidating trust. The available proceeds from either the ongoing collection of royalty income or from the sale of the royalty assets would ultimately be distributed to our stockholders. We will continue to assess the market for our remaining assets to determine the appropriate time to sell them or to opt for alternative paths to return their value to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The preparation of financial statements and related disclosures in conformity with U.S. Generally Accepted Accounting Principles (“GAAP”) and the discussion and analysis of our financial condition and operating results require our management to make judgments, assumptions and estimates that affect the amounts reported in its Consolidated Financial Statements and accompanying notes.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the Consolidated Financial Statements included in this Form 10-K describes the significant accounting policies and methods used in the preparation of our Consolidated Financial Statements. Management bases its estimates on historical experience and on various other assumptions it believes to be reasonable under the circumstances, the results of which form the basis for making judgments about the carrying values of assets and liabilities. Actual results may differ from these estimates and such differences may be material.</w:t>
      </w:r>
    </w:p>
    <w:p>
      <w:pPr>
        <w:spacing w:after="0" w:line="20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While our significant accounting policies are more fully described in the notes to our Consolidated Financial Statements appearing elsewhere in this Form 10-K, management believes that the following accounting policies related to the liquidation basis of accounting, assets and liabilities held for sale, discontinued operations, notes receivable and other long-term receivables, inventory, intangible assets, convertible notes, product revenue, royalty rights - at fair value, and income taxes are critical because they are both important to the portrayal of our financial condition and operating results, and they require management to make judgments and estimates about inherently uncertain matters.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Basis of Accounting</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result of the approval of the Company’s stockholders to pursue dissolution of the Company pursuant to a plan of dissolution, the Company’s basis of accounting transitioned, effective September 1, 2020, from the going concern basis of accounting (“Going Concern Basis”) to the liquidation basis of accounting (“Liquidation Basis”) in accordance with Generally Accepted Accounting Principles. Under the Liquidation Basis, the values of the Company's assets and liabilities include management's estimate of income to be generated from the remaining assets until the anticipated date of sale, estimated sales proceeds, estimates for operating expenses and expected amounts required to settle liabilities. The estimated liquidation values for assets derived from future revenue streams and asset sales and the settlement of estimated liabilities are reflected on the Consolidated Statement of Net Assets in Liquidation. The actual amounts realized could differ materially from the estimated amounts.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Going Concern Basis, assets and liabilities are classified as held for sale and presented separately on the balance sheet when all of the following criteria for a plan of sale have been met: (1) management, having the authority to approve the action, commits to a plan to sell the assets; (2) the assets are available for immediate sale, in their present condition, subject only to terms that are usual and customary for sales of such assets; (3) an active program to locate a buyer and other actions required to complete the plan to sell the assets have been initiated; (4) the sale of the assets is probable and is expected to be completed within one year; (5) the assets are being actively marketed for a price that is reasonable in relation to their current fair value; and (6) actions required to complete the plan indicate that it is unlikely that significant changes to the plan will be made or the plan will be withdrawn. The Pharmaceutical segment, Strategic Positions segment and certain royalty right assets within the Income Generating Assets segment are classified as held for sale. The royalty right assets that were classified as held for sale are Assertio, Viscogliosi Brothers, University of Michigan, AcelRx, and Kybella. The assets and liabilities held for sale are included on the Company’s Consolidated Balance Sheet as of December 31, 2019, as Assets held for sale and Liabilities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Discontinued operations comprise those activities that were disposed of during the period or that were classified as held for sale at the end of the period, represent a separate major line of business or geographical area that can be clearly distinguished for operational and financial reporting purposes, and represent a strategic shift that has or will have a major effect on the Company’s operations and financial results. The profits and losses of the investments classified as held for sale, the Pharmaceutical segment, the Strategic Positions segment, and certain royalty assets noted above, are presented on the Consolidated Statements of Operations as discontinued operations. Depreciation and amortization of assets ceases upon designation as held for sale. See Note 4, </w:t>
      </w:r>
      <w:r>
        <w:rPr>
          <w:rFonts w:ascii="Arial" w:cs="Arial" w:eastAsia="Arial" w:hAnsi="Arial"/>
          <w:sz w:val="17"/>
          <w:szCs w:val="17"/>
          <w:i w:val="1"/>
          <w:iCs w:val="1"/>
          <w:color w:val="auto"/>
        </w:rPr>
        <w:t>Discontinued Operations Classified as Assets Held for Sale</w:t>
      </w:r>
      <w:r>
        <w:rPr>
          <w:rFonts w:ascii="Arial" w:cs="Arial" w:eastAsia="Arial" w:hAnsi="Arial"/>
          <w:sz w:val="17"/>
          <w:szCs w:val="17"/>
          <w:color w:val="auto"/>
        </w:rPr>
        <w:t>,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and Other Long-Term Receivables</w:t>
      </w:r>
    </w:p>
    <w:p>
      <w:pPr>
        <w:spacing w:after="0" w:line="25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Under the Going Concern Basis, we accounted for our notes receivable at amortized cost, net of unamortized origination fees, if any, and adjusted for any impairment losses. Interest was accreted or accrued to “Interest revenue” using the effective interest method. When and if supplemental payments are received from certain of these notes and other long-term receivables, an adjustment to the estimated effective interest rate was affected prospectively.</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evaluated the collectability of both interest and principal for each note receivable or loan to determine whether it is impaired. A note receivable or loan was considered to be impaired when, based on available information and events, we determined it is probable that it would be unable to collect amounts due according to the existing contractual terms. When a note receivable or loan was considered to be impaired, the amount of loss was calculated by comparing the carrying value of the financial asset to the value determined by discounting the expected future cash flows at the loan’s effective interest rate or to the estimated fair value of the underlying collateral, less costs to sell, if the loan was collateralized and we expected repayment to be provided solely by the collateral. Impairment assessments required significant judgments and were based on significant assumptions related to the borrower’s credit risk, financial performance, expected sales, and estimated fair value of the collateral.</w:t>
      </w:r>
    </w:p>
    <w:p>
      <w:pPr>
        <w:spacing w:after="0" w:line="20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We recorded interest on an accrual basis and recognized it as earned in accordance with the contractual terms of the applicable credit agreement, to the extent that the underlying note receivable or loan was not impaired and such amounts were expected to be collected. When a note receivable or loan became past due, or if management otherwise did not expect that principal, interest, and other obligations due would be collected in full, we generally placed the note receivable or loan on an impaired status and ceased recognizing interest income on that note receivable or loan. Any uncollected interest related to prior periods was reversed from income in the period that collection of the interest receivable is determined to be doubtful.</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had one note receivable investment with an aggregate carrying value of approximately $0.7 million, compared to two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receivable investments which we determined to be impaired as of December 31, 2019 with an aggregate carrying value and fair value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$52.1 million and $57.3 million, respectively. We did not recognize any losses on extinguishment of notes receivable during the eight months ended August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2020 or the years ended December 31, 2019 and 2018. There were no impairment losses on notes receivable for the eight months ended August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During the years ended December 31, 2019 and 2018, we recorded impairment losses of $10.8 million and $8.2 million, respectively,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CareView note receivable. For the eight months ended August 31, 2020 and the year ended December 31, 2019, we did not recognize any interest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note receivable investments as all such note receivable investments were on an impaired status and no cash interest payments were received.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2018, we recognized $2.3 million of interest revenue for the CareView note receivable investment as result of cash interest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payments made during the fiscal year.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Going Concern Basis, inventory, which consisted of raw materials, work-in-process and finished goods, was stated at the lower of cost or net realizable value. We determined cost using the first-in, first-out method. Inventory levels were analyzed periodically and written down to their net realizable value if they had become obsolete, had a cost basis in excess of its expected net realizable value or were in excess of expected requirements. We analyzed current and future product demand relative to the remaining product shelf life to identify potential excess inventory. We built demand forecasts by considering factors such as, but not limited to, overall market potential, market share, market acceptance and patient usage. The Company classified inventory as current on the Consolidated Balance Sheet when the Company expected inventory to be consumed for commercial use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Going Concern Basis, intangible assets with finite useful lives consisted primarily of acquired product rights and acquired technology and were amortized on a straight-line basis over their estimated useful lives (five to 20 years). The estimated useful lives associated with finite-lived intangible assets were consistent with the estimated lives of the associated products. Such assets were reviewed for impairment when events or circumstances indicated that the carrying value of an asset may not be recoverable. An impairment loss was recognized when estimated undiscounted future cash flows expected to result from the use of an asset and its eventual disposition were less than its carrying amount. The amount of any impairment loss was measured as the difference between the carrying amount and the fair value of the impaired asset.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Going Concern Basis, we performed an assessment of all embedded features of a debt instrument to determine if (i) such features should be bifurcated and separately accounted for, and (ii) if bifurcation requirements are met, whether such features should be classified and accounted for as equity or debt instruments. If the embedded feature met the requirements to be bifurcated and accounted for as a liability, the fair value of the embedded feature is measured initially, included as a liability on the Consolidated Balance Sheet, and re-measured to fair value at each reporting period. Any changes in fair value were recorded in the Consolidated Statement of Operations. We monitored, on an ongoing basis, whether events or circumstances could give rise to a change in our classification of embedded features.</w:t>
      </w:r>
    </w:p>
    <w:p>
      <w:pPr>
        <w:spacing w:after="0" w:line="21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issued $150.0 million of December 2021 Notes with an option to settle conversions by paying or delivering, as applicable, cash, shares of our common stock or a combination of cash and shares of our common stock, at our election. In accordance with accounting guidance for convertible debt instruments that may be settled in cash or other assets on conversion, we separated the principal balance between the fair value of the liability component and the common stock conversion feature using a market interest rate for a similar nonconvertible instrument at the date of issuance.</w:t>
      </w:r>
    </w:p>
    <w:p>
      <w:pPr>
        <w:spacing w:after="0" w:line="19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September 17, 2019, we exchanged $86.1 million aggregate principal of December 2021 Notes for an identical aggregate original principal amount of December 2024 Notes, plus a cash payment of $70.00 for each $1,000 principal amount exchanged (the “September 2019 Exchange Transaction”). We issued the December 2024 Notes with an option to settle conversions by paying or delivering, as applicable, cash, shares of our common stock or a combination of cash and shares of our common stock, at our election. In accordance with accounting guidance for convertible debt instruments that may be settled in cash or other assets on conversion, we separated the principal balance between the fair value of the liability component and the common stock conversion feature using a market interest rate for a similar nonconvertible instrument at the date of issuance.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September 2019 Exchange Transaction qualified as a debt extinguishment.</w:t>
      </w:r>
    </w:p>
    <w:p>
      <w:pPr>
        <w:spacing w:after="0" w:line="25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accordance with the accounting guidance for an extinguishment of convertible debt instruments with a cash conversion feature, we were required to allocate the fair value of the consideration transferred between the liability component and the equity component. To calculate the fair value of the debt immediately prior to derecognition, the carrying value was recalculated in a manner that reflected the estimated market interest rate for a similar nonconvertible instrument at the date of issuance.</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September 2019 Exchange Transaction, we entered into a capped call transaction with a counterparty on similar terms and conditions as the capped call transaction entered into between the two parties when the December 2021 Notes were issued. We evaluated the capped call transaction under authoritative accounting guidance and determined that it should be accounted for as a separate transaction and classified as a net reduction to Additional paid-in capital within stockholders’ equity with no recurring fair value measurement recorded. Also with the September 2019 Exchange Transaction, we and the counterparty unwound a portion of the capped call entered into when the December 2021 Notes were issued as they were no longer scheduled to mature in 2021. The proceeds from the unwind of the capped call, which reflected the value of the options outstanding at the time of the September 2019 Exchange Transaction and the average share price of our common stock, were included as an increase to Additional paid-in capital within stockholders’ equity.</w:t>
      </w: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12, 2019, we initiated the repurchase of $119.3 million in aggregate principal amount of our December 2021 and December 2024 convertible notes for $97.9 million in cash and 13.4 million shares of our common stock in privately negotiated transactions (the “December Exchange Transaction”). The closing of the December Exchange Transaction occurred on December 17, 2019. We determined that the repurchase of the principal amount should be accounted for as a partial extinguishment of the December 2021 Notes and December 2024 Notes and a loss on extinguishment was recorded at closing of the transaction. The loss on extinguishment included the derecognition of a proportional share of the deferred issuance costs. In connection with the December Exchange Transaction, we unwound a corresponding portion of the capped call related to the convertible notes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2" w:name="page23"/>
    <w:bookmarkEnd w:id="22"/>
    <w:p>
      <w:pPr>
        <w:ind w:right="380"/>
        <w:spacing w:after="0" w:line="259" w:lineRule="auto"/>
        <w:rPr>
          <w:sz w:val="20"/>
          <w:szCs w:val="20"/>
          <w:color w:val="auto"/>
        </w:rPr>
      </w:pPr>
      <w:r>
        <w:rPr>
          <w:rFonts w:ascii="Arial" w:cs="Arial" w:eastAsia="Arial" w:hAnsi="Arial"/>
          <w:sz w:val="18"/>
          <w:szCs w:val="18"/>
          <w:color w:val="auto"/>
        </w:rPr>
        <w:t>repurchased 3.2 million shares of our common stock from the capped call counterparty. The common stock repurchased was reflected as a decrease to Retained earnings within stockholders’ equity. The proceeds from the capped call were included as an increase to Additional paid-in capital within stockholders’ equity. In furtherance of our monetization strategy, we expect to continue to repurchase or satisfy obligations relating to our convertible notes.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eight months ended August 31, 2020, the Company repurchased $5.4 million in aggregate principal amount of its December 2021 Notes and $10.5 million in aggregate principal amount of its December 2024 notes for cash.</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December 2020, the Company repurchased an additional $2.2 million par value of December 2021 Notes and $1.0 million par value of December 2024 Notes in a privately negotiated transactions for cash.</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estimated fair value of the liability components at the date of issuance for the December 2021 Notes and December 2024 Notes were determined using valuation models and are complex and subject to judgment. Significant assumptions within the valuation models included an implied credit spread, the expected volatility and dividend yield of our common stock and the risk-free interest rate for notes with a similar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accordance with ASC 606, revenue under the Going Concern Basis, was recognized from the sale of products and services when a customer obtained control of such promised products and services. The amount of revenue recognized reflected the consideration to which we expected to be entitled to receive in exchange for these products and services. A five-step model was utilized to achieve the core principle and includes the following steps: (1) identify the customer contract; (2) identify the contract’s performance obligations; (3) determine the transaction price; (4) allocate the transaction price to the performance obligations; and (5) recognize revenue when the performance obligations were satisfied.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principal activities, separated by reportable segments, from which we generated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Devices</w:t>
      </w:r>
    </w:p>
    <w:p>
      <w:pPr>
        <w:spacing w:after="0" w:line="247"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We principally generated revenue in our Medical Devices segment from the sale and lease of the LENSAR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Laser System, which included equipment, PIDs, procedure licenses, and training, installation, warranty and maintenance agreements.</w:t>
      </w: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For bundled packages, we accounted for individual products and services separately if they were distinct - i.e. if a product or service is separately identifiable from other promises in the bundled package and if the customer can benefit from it on its own or with other resources that are readily available to the customer. The LENSAR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Laser system, training and installation services were one performance obligation. All other elements are separate performance obligations. PIDs, procedure licenses, warranty and maintenance services were also sold on a stand-alone basis.</w:t>
      </w:r>
    </w:p>
    <w:p>
      <w:pPr>
        <w:spacing w:after="0" w:line="21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As we both sold and leased the LENSAR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Laser System, the consideration (including any discounts) was first allocated between lease and non-lease components and then allocated between the separate products and services based on their stand-alone selling prices. The stand-alone selling prices for the PIDs and procedure licenses were determined based on the prices at which we separately sold the PIDs and procedure licenses. The LENSAR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Laser System and warranty stand-alone selling prices were determined using the expected cost plus a margin approach.</w:t>
      </w:r>
    </w:p>
    <w:p>
      <w:pPr>
        <w:spacing w:after="0" w:line="225"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For LENSAR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Laser System sales, we recognized revenue in product revenue when a customer took possession of the system. This usually occurred after the customer signs a contract, LENSAR installed the system, and LENSAR performed the requisite training for use of the system. For LENSAR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Laser System leases, we recognized revenue in Product revenue over the length of the lease in accordance with ASC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through December 31, 2018 and recognized Product revenue in accordance with ASC Topic 842, </w:t>
      </w:r>
      <w:r>
        <w:rPr>
          <w:rFonts w:ascii="Arial" w:cs="Arial" w:eastAsia="Arial" w:hAnsi="Arial"/>
          <w:sz w:val="17"/>
          <w:szCs w:val="17"/>
          <w:i w:val="1"/>
          <w:iCs w:val="1"/>
          <w:color w:val="auto"/>
        </w:rPr>
        <w:t>Leases</w:t>
      </w:r>
      <w:r>
        <w:rPr>
          <w:rFonts w:ascii="Arial" w:cs="Arial" w:eastAsia="Arial" w:hAnsi="Arial"/>
          <w:sz w:val="17"/>
          <w:szCs w:val="17"/>
          <w:color w:val="auto"/>
        </w:rPr>
        <w:t>, after January 1, 2019.</w:t>
      </w:r>
    </w:p>
    <w:p>
      <w:pPr>
        <w:spacing w:after="0" w:line="225"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LENSAR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Laser System requires both a PID and a procedure license to perform each procedure. We recognized revenue for PIDs in product revenue when the customer took possession of the PID. PIDs were sold by the case. We recognized revenue for procedure licenses in product revenue when a customer purchased a procedure license from the web portal. Typically, consideration for PIDs and procedure licenses was considered fixed consideration except for certain customer agreements that provided for tiered volume discount pricing which was considered variable consideration.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sectPr>
      </w:pPr>
    </w:p>
    <w:bookmarkStart w:id="23" w:name="page24"/>
    <w:bookmarkEnd w:id="23"/>
    <w:p>
      <w:pPr>
        <w:ind w:right="520"/>
        <w:spacing w:after="0" w:line="263" w:lineRule="auto"/>
        <w:rPr>
          <w:sz w:val="20"/>
          <w:szCs w:val="20"/>
          <w:color w:val="auto"/>
        </w:rPr>
      </w:pPr>
      <w:r>
        <w:rPr>
          <w:rFonts w:ascii="Arial" w:cs="Arial" w:eastAsia="Arial" w:hAnsi="Arial"/>
          <w:sz w:val="18"/>
          <w:szCs w:val="18"/>
          <w:color w:val="auto"/>
        </w:rPr>
        <w:t>We offered an extended warranty that provided additional services beyond the standard warranty. We recognized revenue from the sale of extended warranties in product revenue over the warranty period. Customers had the option of renewing the warranty period, which was considered a new and separate contract.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Generating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Rights - At Fair Value</w:t>
      </w:r>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Under the Going Concern Basis, we accounted for our investments in royalty rights at fair value with changes in fair value presented in earnings. The fair value of the investments in royalty rights was determined by using a discounted cash flow analysis related to the expected future cash flows to be received. For each arrangement, we are entitled to royalty payments based on revenue generated by the net sales of the product.</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Going Concern Basis, these assets are classified as Level 3 assets within the fair value hierarchy, as our valuation estimates utilize significant unobservable inputs, including estimates. Critical estimates may include probability and timing of future sales of the related products, product demand and market growth assumptions, inventory target levels, product approval and pricing assumptions. Factors that could cause a change in estimates of future cash flows include a change in estimated market size, market share of the products on which we receive royalties, a change in pricing strategy or reimbursement coverage, a delay in obtaining regulatory approval, changes to forecast volume and pricing as a result of generic competition, a change in dosage of the product, and a change in the number of treatments.</w:t>
      </w:r>
    </w:p>
    <w:p>
      <w:pPr>
        <w:spacing w:after="0" w:line="21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the Going Concern Basis, the changes in the estimated fair value from investments in royalty rights along with cash receipts in each reporting period are presented together on our Consolidated Statements of Operations as a component of revenue under the caption, “Royalty rights - change in fair value.” Realized gains and losses on Royalty Rights were recognized as they were earned and when collection was reasonably assured. Royalty Rights revenue was recognized over the respective contractual arrangement period. Transaction-related fees and costs were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 for income taxes is determined using the asset and liability approach. Tax laws require items to be included in tax filings at different times than the items are reflected in the financial statements. A current liability is recognized for the estimated taxes payable for the current year. Deferred taxes represent the future tax consequences expected to occur when the reported amounts of assets and liabilities are recovered or paid. Deferred taxes are adjusted for enacted changes in tax rates and tax laws. Valuation allowances are recorded to reduce deferred tax assets when it is more likely than not that a tax benefit will not be realized.</w:t>
      </w:r>
    </w:p>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Coronavirus Aid, Relief, and Economic Security (“CARES”) Act was signed into law at the end of March 2020 and contains numerous forms of economic stimulus, including Small Business Association guaranteed loans and certain income tax provisions. The CARES Act, among other provisions,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at the 35% corporate tax rate then in effect.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of this Form 10-K for a discussion of recently adopted accounting pronouncements and recently issued accounting pronouncements not yet adopted as of December 31,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January 4, 2021, we filed a Certificate of Dissolution with the State of Delaware and closed our stock transfer books. On January 7, 2021, we were formally de-listed from Nasdaq.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Fundamental Change Repurchase Right resulting from the suspension of trading of the Company’s common stock on Nasdaq prior to the opening of business on December 31, 2020, holders of 142 December 2021 Notes tendered their notes for repurchase, which occurred on February 17, 2021.</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connection with the Fundamental Make-Whole Change resulting from the suspension of trading of the Company’s common stock on Nasdaq prior to the opening of business on December 31, 2020, holders of 50 December 2021 Notes exercised their conversion rights. Such notes will be retired for cash.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CareView</w:t>
      </w:r>
    </w:p>
    <w:p>
      <w:pPr>
        <w:spacing w:after="0" w:line="25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 xml:space="preserve">As further discussed in Note 9, </w:t>
      </w:r>
      <w:r>
        <w:rPr>
          <w:rFonts w:ascii="Arial" w:cs="Arial" w:eastAsia="Arial" w:hAnsi="Arial"/>
          <w:sz w:val="18"/>
          <w:szCs w:val="18"/>
          <w:i w:val="1"/>
          <w:iCs w:val="1"/>
          <w:color w:val="auto"/>
        </w:rPr>
        <w:t>Notes and Other Long-Term Receivables</w:t>
      </w:r>
      <w:r>
        <w:rPr>
          <w:rFonts w:ascii="Arial" w:cs="Arial" w:eastAsia="Arial" w:hAnsi="Arial"/>
          <w:sz w:val="18"/>
          <w:szCs w:val="18"/>
          <w:color w:val="auto"/>
        </w:rPr>
        <w:t>, to the Consolidated Financial Statements included in Item 8, the first principal payment and the scheduled interest payment due December 31, 2018 and those that followed that were previously deferred until January 31, 2021 were subsequently deferred until May 31, 2021 under additional amendments.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2020, 2019 and 2018 Financial Results</w:t>
      </w:r>
    </w:p>
    <w:p>
      <w:pPr>
        <w:spacing w:after="0" w:line="310" w:lineRule="exact"/>
        <w:rPr>
          <w:sz w:val="20"/>
          <w:szCs w:val="20"/>
          <w:color w:val="auto"/>
        </w:rPr>
      </w:pPr>
    </w:p>
    <w:p>
      <w:pPr>
        <w:ind w:left="700" w:right="120" w:hanging="328"/>
        <w:spacing w:after="0" w:line="316"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net loss for the eight months ended August 31, 2020 and the years ended December 31, 2019 and 2018 was $77.3 million, $70.4 million and $68.9 million, respectively and included net loss from discontinued operations of $34.9 million, $13.6 million and $36.1 million, respectively;</w:t>
      </w:r>
    </w:p>
    <w:p>
      <w:pPr>
        <w:spacing w:after="0" w:line="1" w:lineRule="exact"/>
        <w:rPr>
          <w:rFonts w:ascii="Arial" w:cs="Arial" w:eastAsia="Arial" w:hAnsi="Arial"/>
          <w:sz w:val="16"/>
          <w:szCs w:val="16"/>
          <w:color w:val="auto"/>
        </w:rPr>
      </w:pPr>
    </w:p>
    <w:p>
      <w:pPr>
        <w:ind w:left="700" w:right="20" w:hanging="328"/>
        <w:spacing w:after="0" w:line="277"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December 31, 2020, we had cash and cash equivalents of $126.8 million as compared with $169.0 million at December 31, 2019, excluding, as of December 31, 2019, cash and cash equivalents classified in assets held for sale of $24.5 million;</w:t>
      </w:r>
    </w:p>
    <w:p>
      <w:pPr>
        <w:spacing w:after="0" w:line="8" w:lineRule="exact"/>
        <w:rPr>
          <w:rFonts w:ascii="Arial" w:cs="Arial" w:eastAsia="Arial" w:hAnsi="Arial"/>
          <w:sz w:val="18"/>
          <w:szCs w:val="18"/>
          <w:color w:val="auto"/>
        </w:rPr>
      </w:pPr>
    </w:p>
    <w:p>
      <w:pPr>
        <w:ind w:left="700" w:hanging="328"/>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December 31, 2020, we had $386.9 million in net assets in liquidation;</w:t>
      </w:r>
    </w:p>
    <w:p>
      <w:pPr>
        <w:spacing w:after="0" w:line="63" w:lineRule="exact"/>
        <w:rPr>
          <w:rFonts w:ascii="Arial" w:cs="Arial" w:eastAsia="Arial" w:hAnsi="Arial"/>
          <w:sz w:val="18"/>
          <w:szCs w:val="18"/>
          <w:color w:val="auto"/>
        </w:rPr>
      </w:pPr>
    </w:p>
    <w:p>
      <w:pPr>
        <w:ind w:left="700" w:right="340" w:hanging="328"/>
        <w:spacing w:after="0" w:line="277"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December 31, 2019, we had $717.2 million in total assets, including $447.9 million classified as assets held for sale; and $123.9 million in total liabilities at December 31, 2019, including $31.2 million classified as liabilities held for sale.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revenues for the eight months ended August 31, 2020 and the years ended December 31, 2019 and 2018, is presented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Eight Months Ended</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6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 from</w:t>
            </w:r>
          </w:p>
        </w:tc>
        <w:tc>
          <w:tcPr>
            <w:tcW w:w="1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Year Ended</w:t>
            </w:r>
          </w:p>
        </w:tc>
        <w:tc>
          <w:tcPr>
            <w:tcW w:w="16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Change from</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August 31,</w:t>
            </w: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280" w:type="dxa"/>
            <w:vAlign w:val="bottom"/>
          </w:tcPr>
          <w:p>
            <w:pPr>
              <w:spacing w:after="0"/>
              <w:rPr>
                <w:sz w:val="20"/>
                <w:szCs w:val="20"/>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rPr>
              <w:t>Prior Year %</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rPr>
              <w:t>Prior Year %</w:t>
            </w: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Product revenue, net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10,946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22,331</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(51)%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15,928</w:t>
            </w:r>
          </w:p>
        </w:tc>
        <w:tc>
          <w:tcPr>
            <w:tcW w:w="162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Lease revenue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1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380" w:type="dxa"/>
            <w:vAlign w:val="bottom"/>
            <w:gridSpan w:val="2"/>
          </w:tcPr>
          <w:p>
            <w:pPr>
              <w:ind w:left="220"/>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3,339</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2,821</w:t>
            </w:r>
          </w:p>
        </w:tc>
        <w:tc>
          <w:tcPr>
            <w:tcW w:w="16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Royalty rights - change in fair value</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N/M</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3380" w:type="dxa"/>
            <w:vAlign w:val="bottom"/>
            <w:gridSpan w:val="2"/>
          </w:tcPr>
          <w:p>
            <w:pPr>
              <w:ind w:left="220"/>
              <w:spacing w:after="0"/>
              <w:rPr>
                <w:sz w:val="20"/>
                <w:szCs w:val="20"/>
                <w:color w:val="auto"/>
              </w:rPr>
            </w:pPr>
            <w:r>
              <w:rPr>
                <w:rFonts w:ascii="Arial" w:cs="Arial" w:eastAsia="Arial" w:hAnsi="Arial"/>
                <w:sz w:val="18"/>
                <w:szCs w:val="18"/>
                <w:color w:val="auto"/>
              </w:rPr>
              <w:t>Royalties from Queen et al. patents</w:t>
            </w: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i w:val="1"/>
                <w:iCs w:val="1"/>
                <w:color w:val="auto"/>
              </w:rPr>
              <w:t>N/M</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4,536</w:t>
            </w: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revenue</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N/M</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License and other</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70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344 %</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30,706</w:t>
            </w:r>
          </w:p>
        </w:tc>
        <w:tc>
          <w:tcPr>
            <w:tcW w:w="17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5" w:name="page26"/>
    <w:bookmarkEnd w:id="25"/>
    <w:p>
      <w:pPr>
        <w:ind w:left="900" w:right="120" w:hanging="244"/>
        <w:spacing w:after="0" w:line="226" w:lineRule="auto"/>
        <w:tabs>
          <w:tab w:leader="none" w:pos="83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Our Product revenue, net consisted entirely of revenue from our Medical Devices segment. We recorded Product revenue from our Medical Devices segment from our LENSAR product sales which include LENSAR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Laser Systems, PIDs, procedures, training, installation, warranty and maintenance services.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eight months ended August 31, 2020, compared to the year ended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revenues decreased by 50%, or $15.4 million, for the eight months ended August 31, 2020, when compared to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w:t>
      </w:r>
    </w:p>
    <w:p>
      <w:pPr>
        <w:spacing w:after="0" w:line="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shorter measurement period in the current year period due to the transition to the Liquidation Basis on September 1, 2020,</w:t>
      </w:r>
    </w:p>
    <w:p>
      <w:pPr>
        <w:spacing w:after="0" w:line="63"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Product, Lease and Service revenues from our Medical Devices segment due to the COVID-19 pandemic reducing demand for elective surgical procedures in North America and the rest of the world,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Queen et al. patent revenue in the current year period,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license and other revenue.</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from our Medical Devices segment for the eight months ended August 31, 2020 was $15.2 million, a decrease of 51% compared to the year ended December 31, 2019. The decrease is attributable to lower net revenues in both North America and the rest of the world. The decrease was primarily driven by the impact of the COVID-19 pandemic on the Medical Devices segment and the associated decline in elective surgical procedures in addition to the shorter measurement period in the current year.</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Revenue from our Income Generating Assets segment for the eight months ended August 31, 2020 was $0.1 million, an increase of $0.1 million when compared to the year ended December 31, 2019. The increase was primarily due to:</w:t>
      </w:r>
    </w:p>
    <w:p>
      <w:pPr>
        <w:spacing w:after="0" w:line="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license and other revenue,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decreasing royalties from the Queen et al. patents as the patents have expired.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2019, compared to December 31, 2018</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total revenues decreased by 4%, or $1.3 million, for the year ended December 31, 2019, when compared to the year ended December 31, 2018. The decrease was primarily due to:</w:t>
      </w:r>
    </w:p>
    <w:p>
      <w:pPr>
        <w:spacing w:after="0" w:line="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Queen et al. patent revenue in the current period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interest revenue related to the CareView note receivable asset,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license and other revenue,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product revenue from sales of the LENSAR Laser Systems in our Medical Devices segment.</w:t>
      </w:r>
    </w:p>
    <w:p>
      <w:pPr>
        <w:spacing w:after="0" w:line="2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Revenue from our Medical Devices segment for the year ended December 31, 2019 was $30.7 million, an increase of 25% compared to the year ended December 31, 2018. The increase is attributable to higher net revenues in both North America and the rest of the world, with the majority of the increase outside of North America.</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Revenue from our Income Generating Assets segment for the year ended December 31, 2019 was $(36,000), a decrease of 100%, or $7.4 million, when compared to the same period in 2018. The decrease was due to:</w:t>
      </w:r>
    </w:p>
    <w:p>
      <w:pPr>
        <w:spacing w:after="0" w:line="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royalties from the Queen et al. patents as the patents have expired,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interest revenue recognized from our CareView note receivable in 2019,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license and other revenue.</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the percentage of our total revenues earned, which individually accounted for 10% or more of our total revenues for the eight months ended August 31, 2020 and one or more of the years ended December 31, 2019 and 2018:</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Eight Months Ended</w:t>
            </w:r>
          </w:p>
        </w:tc>
        <w:tc>
          <w:tcPr>
            <w:tcW w:w="3640" w:type="dxa"/>
            <w:vAlign w:val="bottom"/>
            <w:gridSpan w:val="3"/>
            <w:vMerge w:val="restart"/>
          </w:tcPr>
          <w:p>
            <w:pPr>
              <w:jc w:val="right"/>
              <w:ind w:right="7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August 31,</w:t>
            </w:r>
          </w:p>
        </w:tc>
        <w:tc>
          <w:tcPr>
            <w:tcW w:w="3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Product Name</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Biogen</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w w:val="97"/>
              </w:rPr>
              <w:t>—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LENSAR</w:t>
            </w:r>
          </w:p>
        </w:tc>
        <w:tc>
          <w:tcPr>
            <w:tcW w:w="1860" w:type="dxa"/>
            <w:vAlign w:val="bottom"/>
          </w:tcPr>
          <w:p>
            <w:pPr>
              <w:ind w:left="1460"/>
              <w:spacing w:after="0"/>
              <w:rPr>
                <w:sz w:val="20"/>
                <w:szCs w:val="20"/>
                <w:color w:val="auto"/>
              </w:rPr>
            </w:pPr>
            <w:r>
              <w:rPr>
                <w:rFonts w:ascii="Arial" w:cs="Arial" w:eastAsia="Arial" w:hAnsi="Arial"/>
                <w:sz w:val="18"/>
                <w:szCs w:val="18"/>
                <w:color w:val="auto"/>
                <w:w w:val="92"/>
              </w:rPr>
              <w:t>99 %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operating expenses for the eight months ended August 31, 2020 and the years ended December 31, 2019 and 2018 is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Eight Months Ended</w:t>
            </w:r>
          </w:p>
        </w:tc>
        <w:tc>
          <w:tcPr>
            <w:tcW w:w="14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7"/>
                <w:szCs w:val="17"/>
                <w:color w:val="auto"/>
              </w:rPr>
            </w:pPr>
          </w:p>
        </w:tc>
        <w:tc>
          <w:tcPr>
            <w:tcW w:w="14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Change from</w:t>
            </w:r>
          </w:p>
        </w:tc>
        <w:tc>
          <w:tcPr>
            <w:tcW w:w="240" w:type="dxa"/>
            <w:vAlign w:val="bottom"/>
          </w:tcPr>
          <w:p>
            <w:pPr>
              <w:spacing w:after="0"/>
              <w:rPr>
                <w:sz w:val="17"/>
                <w:szCs w:val="17"/>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14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Change from</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August 31,</w:t>
            </w:r>
          </w:p>
        </w:tc>
        <w:tc>
          <w:tcPr>
            <w:tcW w:w="140" w:type="dxa"/>
            <w:vAlign w:val="bottom"/>
          </w:tcPr>
          <w:p>
            <w:pPr>
              <w:spacing w:after="0"/>
              <w:rPr>
                <w:sz w:val="19"/>
                <w:szCs w:val="19"/>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i w:val="1"/>
                <w:iCs w:val="1"/>
                <w:color w:val="auto"/>
              </w:rPr>
              <w:t>(Dollars in thousands)</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Prior Year %</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Prior Year %</w:t>
            </w:r>
          </w:p>
        </w:tc>
        <w:tc>
          <w:tcPr>
            <w:tcW w:w="0" w:type="dxa"/>
            <w:vAlign w:val="bottom"/>
          </w:tcPr>
          <w:p>
            <w:pPr>
              <w:spacing w:after="0"/>
              <w:rPr>
                <w:sz w:val="1"/>
                <w:szCs w:val="1"/>
                <w:color w:val="auto"/>
              </w:rPr>
            </w:pPr>
          </w:p>
        </w:tc>
      </w:tr>
      <w:tr>
        <w:trPr>
          <w:trHeight w:val="169"/>
        </w:trPr>
        <w:tc>
          <w:tcPr>
            <w:tcW w:w="32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Costs of product revenue (excluding</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6,626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17,276</w:t>
            </w:r>
          </w:p>
        </w:tc>
        <w:tc>
          <w:tcPr>
            <w:tcW w:w="15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13,555</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30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1,290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1,294</w:t>
            </w: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Severance and retention</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29,695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38,334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33,700</w:t>
            </w:r>
          </w:p>
        </w:tc>
        <w:tc>
          <w:tcPr>
            <w:tcW w:w="14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6,806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6,341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7,350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2,759</w:t>
            </w:r>
          </w:p>
        </w:tc>
        <w:tc>
          <w:tcPr>
            <w:tcW w:w="1460" w:type="dxa"/>
            <w:vAlign w:val="bottom"/>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 loss</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8,200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6"/>
        </w:trPr>
        <w:tc>
          <w:tcPr>
            <w:tcW w:w="32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Change in fair value of contingent</w:t>
            </w:r>
          </w:p>
        </w:tc>
        <w:tc>
          <w:tcPr>
            <w:tcW w:w="300" w:type="dxa"/>
            <w:vAlign w:val="bottom"/>
          </w:tcPr>
          <w:p>
            <w:pPr>
              <w:spacing w:after="0"/>
              <w:rPr>
                <w:sz w:val="15"/>
                <w:szCs w:val="15"/>
                <w:color w:val="auto"/>
              </w:rPr>
            </w:pPr>
          </w:p>
        </w:tc>
        <w:tc>
          <w:tcPr>
            <w:tcW w:w="16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N/M</w:t>
            </w:r>
          </w:p>
        </w:tc>
        <w:tc>
          <w:tcPr>
            <w:tcW w:w="240" w:type="dxa"/>
            <w:vAlign w:val="bottom"/>
          </w:tcPr>
          <w:p>
            <w:pPr>
              <w:spacing w:after="0"/>
              <w:rPr>
                <w:sz w:val="15"/>
                <w:szCs w:val="15"/>
                <w:color w:val="auto"/>
              </w:rPr>
            </w:pPr>
          </w:p>
        </w:tc>
        <w:tc>
          <w:tcPr>
            <w:tcW w:w="1380" w:type="dxa"/>
            <w:vAlign w:val="bottom"/>
            <w:vMerge w:val="restart"/>
          </w:tcPr>
          <w:p>
            <w:pPr>
              <w:jc w:val="right"/>
              <w:ind w:right="230"/>
              <w:spacing w:after="0"/>
              <w:rPr>
                <w:sz w:val="20"/>
                <w:szCs w:val="20"/>
                <w:color w:val="auto"/>
              </w:rPr>
            </w:pPr>
            <w:r>
              <w:rPr>
                <w:rFonts w:ascii="Arial" w:cs="Arial" w:eastAsia="Arial" w:hAnsi="Arial"/>
                <w:sz w:val="18"/>
                <w:szCs w:val="18"/>
                <w:color w:val="auto"/>
              </w:rPr>
              <w:t>369</w:t>
            </w:r>
          </w:p>
        </w:tc>
        <w:tc>
          <w:tcPr>
            <w:tcW w:w="14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consideration</w:t>
            </w:r>
          </w:p>
        </w:tc>
        <w:tc>
          <w:tcPr>
            <w:tcW w:w="30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81,824</w:t>
            </w:r>
          </w:p>
        </w:tc>
        <w:tc>
          <w:tcPr>
            <w:tcW w:w="15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66,218</w:t>
            </w:r>
          </w:p>
        </w:tc>
        <w:tc>
          <w:tcPr>
            <w:tcW w:w="1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020" w:type="dxa"/>
            <w:vAlign w:val="bottom"/>
          </w:tcPr>
          <w:p>
            <w:pPr>
              <w:jc w:val="right"/>
              <w:ind w:right="450"/>
              <w:spacing w:after="0"/>
              <w:rPr>
                <w:sz w:val="20"/>
                <w:szCs w:val="20"/>
                <w:color w:val="auto"/>
              </w:rPr>
            </w:pPr>
            <w:r>
              <w:rPr>
                <w:rFonts w:ascii="Arial" w:cs="Arial" w:eastAsia="Arial" w:hAnsi="Arial"/>
                <w:sz w:val="18"/>
                <w:szCs w:val="18"/>
                <w:color w:val="auto"/>
              </w:rPr>
              <w:t>454 %</w:t>
            </w:r>
          </w:p>
        </w:tc>
        <w:tc>
          <w:tcPr>
            <w:tcW w:w="2300" w:type="dxa"/>
            <w:vAlign w:val="bottom"/>
          </w:tcPr>
          <w:p>
            <w:pPr>
              <w:jc w:val="right"/>
              <w:ind w:right="1210"/>
              <w:spacing w:after="0"/>
              <w:rPr>
                <w:sz w:val="20"/>
                <w:szCs w:val="20"/>
                <w:color w:val="auto"/>
              </w:rPr>
            </w:pPr>
            <w:r>
              <w:rPr>
                <w:rFonts w:ascii="Arial" w:cs="Arial" w:eastAsia="Arial" w:hAnsi="Arial"/>
                <w:sz w:val="18"/>
                <w:szCs w:val="18"/>
                <w:color w:val="auto"/>
              </w:rPr>
              <w:t>266 %</w:t>
            </w:r>
          </w:p>
        </w:tc>
        <w:tc>
          <w:tcPr>
            <w:tcW w:w="1760" w:type="dxa"/>
            <w:vAlign w:val="bottom"/>
          </w:tcPr>
          <w:p>
            <w:pPr>
              <w:jc w:val="right"/>
              <w:spacing w:after="0"/>
              <w:rPr>
                <w:sz w:val="20"/>
                <w:szCs w:val="20"/>
                <w:color w:val="auto"/>
              </w:rPr>
            </w:pPr>
            <w:r>
              <w:rPr>
                <w:rFonts w:ascii="Arial" w:cs="Arial" w:eastAsia="Arial" w:hAnsi="Arial"/>
                <w:sz w:val="18"/>
                <w:szCs w:val="18"/>
                <w:color w:val="auto"/>
              </w:rPr>
              <w:t>207 %</w:t>
            </w:r>
          </w:p>
        </w:tc>
      </w:tr>
    </w:tbl>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eight months ended August 31, 2020, compared to the year ended December 31, 2019</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operating expenses decreased by 15%, or $12.3 million for the eight months ended August 31, 2020, when compared to the year ended December 31, 2019. The decrease was primarily a result of:</w:t>
      </w:r>
    </w:p>
    <w:p>
      <w:pPr>
        <w:spacing w:after="0" w:line="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lower general and administrative expenses, primarily due to a shorter measurement period due to our transition to the Liquidation Basis,</w:t>
      </w:r>
    </w:p>
    <w:p>
      <w:pPr>
        <w:spacing w:after="0" w:line="74"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research and development expenses in our Medical Devices segment primarily due to the exclusive licensing of intellectual property from a third party in 2019 for $3.5 million in cash,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cost of product revenue, due to decreased sales in our Medical Devices segment, as previously discussed,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sales and marketing expenses in our Medical Devices segment due to the impact of COVID-19, and</w:t>
      </w:r>
    </w:p>
    <w:p>
      <w:pPr>
        <w:spacing w:after="0" w:line="63"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$10.8 million impairment loss on the CareView note receivable recorded in 2019 with no comparable adjustment in the current year period, partially offset by</w:t>
      </w:r>
    </w:p>
    <w:p>
      <w:pPr>
        <w:spacing w:after="0" w:line="8"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and retention recorded in the current year period with no corresponding expense in the prior year period, including provisions under our Wind Down Retention Plan, which, as a result of the adoption of the Plan of Liquidation in the first quarter of 2020, accelerated the vesting of outstanding stock awards for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2019, compared to December 31, 2018</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increased by 24%, or $15.6 million for the year ended December 31, 2019, when compared to the year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a result of:</w:t>
      </w:r>
    </w:p>
    <w:p>
      <w:pPr>
        <w:spacing w:after="0" w:line="49" w:lineRule="exact"/>
        <w:rPr>
          <w:sz w:val="20"/>
          <w:szCs w:val="20"/>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research and development expenses in our Medical Devices segment primarily due to the exclusive licensing of intellectual property from a third party for $3.5 million in cash for use in developing its next generation technology,</w:t>
      </w:r>
    </w:p>
    <w:p>
      <w:pPr>
        <w:spacing w:after="0" w:line="8"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cost of product revenue, due to increased sales in our Medical Devices segment, with the majority of the increase related to increased system sales in 2019,</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our general and administrative expenses, as detailed below,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our sales and marketing expenses in our Medical Devices segment, and</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$10.8 million impairment loss on the CareView note receivable recorded in 2019 compared to the $8.2 million impairment loss on the CareView note receivable recorded in 2018, partially offset by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the expense recorded for the change in fair value of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General and administrative expenses for the eight months ended August 31, 2020 and the years ended December 31, 2019 and 2018 by segment are summarized in the tables below:</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right="412"/>
              <w:spacing w:after="0"/>
              <w:rPr>
                <w:sz w:val="20"/>
                <w:szCs w:val="20"/>
                <w:color w:val="auto"/>
              </w:rPr>
            </w:pPr>
            <w:r>
              <w:rPr>
                <w:rFonts w:ascii="Arial" w:cs="Arial" w:eastAsia="Arial" w:hAnsi="Arial"/>
                <w:sz w:val="18"/>
                <w:szCs w:val="18"/>
                <w:b w:val="1"/>
                <w:bCs w:val="1"/>
                <w:color w:val="auto"/>
                <w:w w:val="90"/>
              </w:rPr>
              <w:t>Eight Months Ended August 31, 2020</w:t>
            </w:r>
          </w:p>
        </w:tc>
        <w:tc>
          <w:tcPr>
            <w:tcW w:w="0" w:type="dxa"/>
            <w:vAlign w:val="bottom"/>
          </w:tcPr>
          <w:p>
            <w:pPr>
              <w:spacing w:after="0"/>
              <w:rPr>
                <w:sz w:val="1"/>
                <w:szCs w:val="1"/>
                <w:color w:val="auto"/>
              </w:rPr>
            </w:pPr>
          </w:p>
        </w:tc>
      </w:tr>
      <w:tr>
        <w:trPr>
          <w:trHeight w:val="345"/>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vMerge w:val="restart"/>
          </w:tcPr>
          <w:p>
            <w:pPr>
              <w:jc w:val="right"/>
              <w:ind w:right="12"/>
              <w:spacing w:after="0"/>
              <w:rPr>
                <w:sz w:val="20"/>
                <w:szCs w:val="20"/>
                <w:color w:val="auto"/>
              </w:rPr>
            </w:pPr>
            <w:r>
              <w:rPr>
                <w:rFonts w:ascii="Arial" w:cs="Arial" w:eastAsia="Arial" w:hAnsi="Arial"/>
                <w:sz w:val="18"/>
                <w:szCs w:val="18"/>
                <w:b w:val="1"/>
                <w:bCs w:val="1"/>
                <w:color w:val="auto"/>
                <w:w w:val="94"/>
              </w:rPr>
              <w:t>Medical Devices</w:t>
            </w:r>
          </w:p>
        </w:tc>
        <w:tc>
          <w:tcPr>
            <w:tcW w:w="14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Income</w:t>
            </w:r>
          </w:p>
        </w:tc>
        <w:tc>
          <w:tcPr>
            <w:tcW w:w="320" w:type="dxa"/>
            <w:vAlign w:val="bottom"/>
          </w:tcPr>
          <w:p>
            <w:pPr>
              <w:spacing w:after="0"/>
              <w:rPr>
                <w:sz w:val="24"/>
                <w:szCs w:val="24"/>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Generating Assets</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w:t>
            </w:r>
          </w:p>
        </w:tc>
        <w:tc>
          <w:tcPr>
            <w:tcW w:w="0" w:type="dxa"/>
            <w:vAlign w:val="bottom"/>
          </w:tcPr>
          <w:p>
            <w:pPr>
              <w:spacing w:after="0"/>
              <w:rPr>
                <w:sz w:val="1"/>
                <w:szCs w:val="1"/>
                <w:color w:val="auto"/>
              </w:rPr>
            </w:pPr>
          </w:p>
        </w:tc>
      </w:tr>
      <w:tr>
        <w:trPr>
          <w:trHeight w:val="254"/>
        </w:trPr>
        <w:tc>
          <w:tcPr>
            <w:tcW w:w="4780" w:type="dxa"/>
            <w:vAlign w:val="bottom"/>
            <w:gridSpan w:val="2"/>
          </w:tcPr>
          <w:p>
            <w:pPr>
              <w:ind w:left="220"/>
              <w:spacing w:after="0"/>
              <w:rPr>
                <w:sz w:val="20"/>
                <w:szCs w:val="20"/>
                <w:color w:val="auto"/>
              </w:rPr>
            </w:pPr>
            <w:r>
              <w:rPr>
                <w:rFonts w:ascii="Arial" w:cs="Arial" w:eastAsia="Arial" w:hAnsi="Arial"/>
                <w:sz w:val="16"/>
                <w:szCs w:val="16"/>
                <w:i w:val="1"/>
                <w:iCs w:val="1"/>
                <w:color w:val="auto"/>
              </w:rPr>
              <w:t>Salaries and wages (including taxes)</w:t>
            </w: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1,666</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4,468</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6,134</w:t>
            </w:r>
          </w:p>
        </w:tc>
        <w:tc>
          <w:tcPr>
            <w:tcW w:w="0" w:type="dxa"/>
            <w:vAlign w:val="bottom"/>
          </w:tcPr>
          <w:p>
            <w:pPr>
              <w:spacing w:after="0"/>
              <w:rPr>
                <w:sz w:val="1"/>
                <w:szCs w:val="1"/>
                <w:color w:val="auto"/>
              </w:rPr>
            </w:pPr>
          </w:p>
        </w:tc>
      </w:tr>
      <w:tr>
        <w:trPr>
          <w:trHeight w:val="25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6"/>
                <w:szCs w:val="16"/>
                <w:i w:val="1"/>
                <w:iCs w:val="1"/>
                <w:color w:val="auto"/>
              </w:rPr>
              <w:t>Bonuses (including accruals)</w:t>
            </w: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410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1,890</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2,300</w:t>
            </w:r>
          </w:p>
        </w:tc>
        <w:tc>
          <w:tcPr>
            <w:tcW w:w="0" w:type="dxa"/>
            <w:vAlign w:val="bottom"/>
          </w:tcPr>
          <w:p>
            <w:pPr>
              <w:spacing w:after="0"/>
              <w:rPr>
                <w:sz w:val="1"/>
                <w:szCs w:val="1"/>
                <w:color w:val="auto"/>
              </w:rPr>
            </w:pPr>
          </w:p>
        </w:tc>
      </w:tr>
      <w:tr>
        <w:trPr>
          <w:trHeight w:val="253"/>
        </w:trPr>
        <w:tc>
          <w:tcPr>
            <w:tcW w:w="4780" w:type="dxa"/>
            <w:vAlign w:val="bottom"/>
            <w:gridSpan w:val="2"/>
          </w:tcPr>
          <w:p>
            <w:pPr>
              <w:ind w:left="220"/>
              <w:spacing w:after="0"/>
              <w:rPr>
                <w:sz w:val="20"/>
                <w:szCs w:val="20"/>
                <w:color w:val="auto"/>
              </w:rPr>
            </w:pPr>
            <w:r>
              <w:rPr>
                <w:rFonts w:ascii="Arial" w:cs="Arial" w:eastAsia="Arial" w:hAnsi="Arial"/>
                <w:sz w:val="16"/>
                <w:szCs w:val="16"/>
                <w:i w:val="1"/>
                <w:iCs w:val="1"/>
                <w:color w:val="auto"/>
              </w:rPr>
              <w:t>Equity</w:t>
            </w: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388</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2,275</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2,663</w:t>
            </w:r>
          </w:p>
        </w:tc>
        <w:tc>
          <w:tcPr>
            <w:tcW w:w="0" w:type="dxa"/>
            <w:vAlign w:val="bottom"/>
          </w:tcPr>
          <w:p>
            <w:pPr>
              <w:spacing w:after="0"/>
              <w:rPr>
                <w:sz w:val="1"/>
                <w:szCs w:val="1"/>
                <w:color w:val="auto"/>
              </w:rPr>
            </w:pPr>
          </w:p>
        </w:tc>
      </w:tr>
      <w:tr>
        <w:trPr>
          <w:trHeight w:val="27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w:t>
            </w:r>
          </w:p>
        </w:tc>
        <w:tc>
          <w:tcPr>
            <w:tcW w:w="5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7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Business development</w:t>
            </w:r>
          </w:p>
        </w:tc>
        <w:tc>
          <w:tcPr>
            <w:tcW w:w="5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Accounting and tax services</w:t>
            </w: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7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professional services</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7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Total general and administrative</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6,238</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23,457</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432"/>
              <w:spacing w:after="0"/>
              <w:rPr>
                <w:sz w:val="20"/>
                <w:szCs w:val="20"/>
                <w:color w:val="auto"/>
              </w:rPr>
            </w:pPr>
            <w:r>
              <w:rPr>
                <w:rFonts w:ascii="Arial" w:cs="Arial" w:eastAsia="Arial" w:hAnsi="Arial"/>
                <w:sz w:val="18"/>
                <w:szCs w:val="18"/>
                <w:b w:val="1"/>
                <w:bCs w:val="1"/>
                <w:color w:val="auto"/>
                <w:w w:val="90"/>
              </w:rPr>
              <w:t>Year Ended December 31, 2019</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vMerge w:val="restart"/>
          </w:tcPr>
          <w:p>
            <w:pPr>
              <w:jc w:val="right"/>
              <w:ind w:right="12"/>
              <w:spacing w:after="0"/>
              <w:rPr>
                <w:sz w:val="20"/>
                <w:szCs w:val="20"/>
                <w:color w:val="auto"/>
              </w:rPr>
            </w:pPr>
            <w:r>
              <w:rPr>
                <w:rFonts w:ascii="Arial" w:cs="Arial" w:eastAsia="Arial" w:hAnsi="Arial"/>
                <w:sz w:val="18"/>
                <w:szCs w:val="18"/>
                <w:b w:val="1"/>
                <w:bCs w:val="1"/>
                <w:color w:val="auto"/>
                <w:w w:val="94"/>
              </w:rPr>
              <w:t>Medical Devices</w:t>
            </w:r>
          </w:p>
        </w:tc>
        <w:tc>
          <w:tcPr>
            <w:tcW w:w="14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Income</w:t>
            </w:r>
          </w:p>
        </w:tc>
        <w:tc>
          <w:tcPr>
            <w:tcW w:w="420" w:type="dxa"/>
            <w:vAlign w:val="bottom"/>
          </w:tcPr>
          <w:p>
            <w:pPr>
              <w:spacing w:after="0"/>
              <w:rPr>
                <w:sz w:val="24"/>
                <w:szCs w:val="2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Generating Assets</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20,765</w:t>
            </w:r>
          </w:p>
        </w:tc>
        <w:tc>
          <w:tcPr>
            <w:tcW w:w="0" w:type="dxa"/>
            <w:vAlign w:val="bottom"/>
          </w:tcPr>
          <w:p>
            <w:pPr>
              <w:spacing w:after="0"/>
              <w:rPr>
                <w:sz w:val="1"/>
                <w:szCs w:val="1"/>
                <w:color w:val="auto"/>
              </w:rPr>
            </w:pPr>
          </w:p>
        </w:tc>
      </w:tr>
      <w:tr>
        <w:trPr>
          <w:trHeight w:val="254"/>
        </w:trPr>
        <w:tc>
          <w:tcPr>
            <w:tcW w:w="4780" w:type="dxa"/>
            <w:vAlign w:val="bottom"/>
            <w:gridSpan w:val="2"/>
          </w:tcPr>
          <w:p>
            <w:pPr>
              <w:ind w:left="220"/>
              <w:spacing w:after="0"/>
              <w:rPr>
                <w:sz w:val="20"/>
                <w:szCs w:val="20"/>
                <w:color w:val="auto"/>
              </w:rPr>
            </w:pPr>
            <w:r>
              <w:rPr>
                <w:rFonts w:ascii="Arial" w:cs="Arial" w:eastAsia="Arial" w:hAnsi="Arial"/>
                <w:sz w:val="16"/>
                <w:szCs w:val="16"/>
                <w:i w:val="1"/>
                <w:iCs w:val="1"/>
                <w:color w:val="auto"/>
              </w:rPr>
              <w:t>Salaries and wages (including taxes)</w:t>
            </w: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1,883</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6,277</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8,160</w:t>
            </w:r>
          </w:p>
        </w:tc>
        <w:tc>
          <w:tcPr>
            <w:tcW w:w="0" w:type="dxa"/>
            <w:vAlign w:val="bottom"/>
          </w:tcPr>
          <w:p>
            <w:pPr>
              <w:spacing w:after="0"/>
              <w:rPr>
                <w:sz w:val="1"/>
                <w:szCs w:val="1"/>
                <w:color w:val="auto"/>
              </w:rPr>
            </w:pPr>
          </w:p>
        </w:tc>
      </w:tr>
      <w:tr>
        <w:trPr>
          <w:trHeight w:val="259"/>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6"/>
                <w:szCs w:val="16"/>
                <w:i w:val="1"/>
                <w:iCs w:val="1"/>
                <w:color w:val="auto"/>
              </w:rPr>
              <w:t>Bonuses (including accruals)</w:t>
            </w: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1,260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3,643</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4,903</w:t>
            </w:r>
          </w:p>
        </w:tc>
        <w:tc>
          <w:tcPr>
            <w:tcW w:w="0" w:type="dxa"/>
            <w:vAlign w:val="bottom"/>
          </w:tcPr>
          <w:p>
            <w:pPr>
              <w:spacing w:after="0"/>
              <w:rPr>
                <w:sz w:val="1"/>
                <w:szCs w:val="1"/>
                <w:color w:val="auto"/>
              </w:rPr>
            </w:pPr>
          </w:p>
        </w:tc>
      </w:tr>
      <w:tr>
        <w:trPr>
          <w:trHeight w:val="267"/>
        </w:trPr>
        <w:tc>
          <w:tcPr>
            <w:tcW w:w="4780" w:type="dxa"/>
            <w:vAlign w:val="bottom"/>
            <w:gridSpan w:val="2"/>
          </w:tcPr>
          <w:p>
            <w:pPr>
              <w:ind w:left="220"/>
              <w:spacing w:after="0"/>
              <w:rPr>
                <w:sz w:val="20"/>
                <w:szCs w:val="20"/>
                <w:color w:val="auto"/>
              </w:rPr>
            </w:pPr>
            <w:r>
              <w:rPr>
                <w:rFonts w:ascii="Arial" w:cs="Arial" w:eastAsia="Arial" w:hAnsi="Arial"/>
                <w:sz w:val="16"/>
                <w:szCs w:val="16"/>
                <w:i w:val="1"/>
                <w:iCs w:val="1"/>
                <w:color w:val="auto"/>
              </w:rPr>
              <w:t>Equity</w:t>
            </w: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966</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6,736</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7,702</w:t>
            </w:r>
          </w:p>
        </w:tc>
        <w:tc>
          <w:tcPr>
            <w:tcW w:w="0" w:type="dxa"/>
            <w:vAlign w:val="bottom"/>
          </w:tcPr>
          <w:p>
            <w:pPr>
              <w:spacing w:after="0"/>
              <w:rPr>
                <w:sz w:val="1"/>
                <w:szCs w:val="1"/>
                <w:color w:val="auto"/>
              </w:rPr>
            </w:pPr>
          </w:p>
        </w:tc>
      </w:tr>
      <w:tr>
        <w:trPr>
          <w:trHeight w:val="27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w:t>
            </w:r>
          </w:p>
        </w:tc>
        <w:tc>
          <w:tcPr>
            <w:tcW w:w="5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7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Business development</w:t>
            </w:r>
          </w:p>
        </w:tc>
        <w:tc>
          <w:tcPr>
            <w:tcW w:w="5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Accounting and tax services</w:t>
            </w: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7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professional services</w:t>
            </w: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7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Total general and administrative</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31,350</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412"/>
              <w:spacing w:after="0"/>
              <w:rPr>
                <w:sz w:val="20"/>
                <w:szCs w:val="20"/>
                <w:color w:val="auto"/>
              </w:rPr>
            </w:pPr>
            <w:r>
              <w:rPr>
                <w:rFonts w:ascii="Arial" w:cs="Arial" w:eastAsia="Arial" w:hAnsi="Arial"/>
                <w:sz w:val="18"/>
                <w:szCs w:val="18"/>
                <w:b w:val="1"/>
                <w:bCs w:val="1"/>
                <w:color w:val="auto"/>
                <w:w w:val="90"/>
              </w:rPr>
              <w:t>Year Ended December 31, 2018</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Medical Devices</w:t>
            </w:r>
          </w:p>
        </w:tc>
        <w:tc>
          <w:tcPr>
            <w:tcW w:w="14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420" w:type="dxa"/>
            <w:vAlign w:val="bottom"/>
          </w:tcPr>
          <w:p>
            <w:pPr>
              <w:spacing w:after="0"/>
              <w:rPr>
                <w:sz w:val="24"/>
                <w:szCs w:val="24"/>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Generating Assets</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3,627</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10,204</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13,831</w:t>
            </w:r>
          </w:p>
        </w:tc>
        <w:tc>
          <w:tcPr>
            <w:tcW w:w="0" w:type="dxa"/>
            <w:vAlign w:val="bottom"/>
          </w:tcPr>
          <w:p>
            <w:pPr>
              <w:spacing w:after="0"/>
              <w:rPr>
                <w:sz w:val="1"/>
                <w:szCs w:val="1"/>
                <w:color w:val="auto"/>
              </w:rPr>
            </w:pPr>
          </w:p>
        </w:tc>
      </w:tr>
      <w:tr>
        <w:trPr>
          <w:trHeight w:val="254"/>
        </w:trPr>
        <w:tc>
          <w:tcPr>
            <w:tcW w:w="4660" w:type="dxa"/>
            <w:vAlign w:val="bottom"/>
            <w:gridSpan w:val="2"/>
          </w:tcPr>
          <w:p>
            <w:pPr>
              <w:ind w:left="220"/>
              <w:spacing w:after="0"/>
              <w:rPr>
                <w:sz w:val="20"/>
                <w:szCs w:val="20"/>
                <w:color w:val="auto"/>
              </w:rPr>
            </w:pPr>
            <w:r>
              <w:rPr>
                <w:rFonts w:ascii="Arial" w:cs="Arial" w:eastAsia="Arial" w:hAnsi="Arial"/>
                <w:sz w:val="16"/>
                <w:szCs w:val="16"/>
                <w:i w:val="1"/>
                <w:iCs w:val="1"/>
                <w:color w:val="auto"/>
              </w:rPr>
              <w:t>Salaries and wages (including taxes)</w:t>
            </w:r>
          </w:p>
        </w:tc>
        <w:tc>
          <w:tcPr>
            <w:tcW w:w="50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6"/>
                <w:szCs w:val="16"/>
                <w:i w:val="1"/>
                <w:iCs w:val="1"/>
                <w:color w:val="auto"/>
              </w:rPr>
              <w:t>1,871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6,193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6"/>
                <w:szCs w:val="16"/>
                <w:i w:val="1"/>
                <w:iCs w:val="1"/>
                <w:color w:val="auto"/>
              </w:rPr>
              <w:t>8,064</w:t>
            </w:r>
          </w:p>
        </w:tc>
        <w:tc>
          <w:tcPr>
            <w:tcW w:w="0" w:type="dxa"/>
            <w:vAlign w:val="bottom"/>
          </w:tcPr>
          <w:p>
            <w:pPr>
              <w:spacing w:after="0"/>
              <w:rPr>
                <w:sz w:val="1"/>
                <w:szCs w:val="1"/>
                <w:color w:val="auto"/>
              </w:rPr>
            </w:pPr>
          </w:p>
        </w:tc>
      </w:tr>
      <w:tr>
        <w:trPr>
          <w:trHeight w:val="259"/>
        </w:trPr>
        <w:tc>
          <w:tcPr>
            <w:tcW w:w="4660" w:type="dxa"/>
            <w:vAlign w:val="bottom"/>
            <w:gridSpan w:val="2"/>
            <w:shd w:val="clear" w:color="auto" w:fill="CCEEFF"/>
          </w:tcPr>
          <w:p>
            <w:pPr>
              <w:ind w:left="220"/>
              <w:spacing w:after="0"/>
              <w:rPr>
                <w:sz w:val="20"/>
                <w:szCs w:val="20"/>
                <w:color w:val="auto"/>
              </w:rPr>
            </w:pPr>
            <w:r>
              <w:rPr>
                <w:rFonts w:ascii="Arial" w:cs="Arial" w:eastAsia="Arial" w:hAnsi="Arial"/>
                <w:sz w:val="16"/>
                <w:szCs w:val="16"/>
                <w:i w:val="1"/>
                <w:iCs w:val="1"/>
                <w:color w:val="auto"/>
              </w:rPr>
              <w:t>Bonuses (including accruals)</w:t>
            </w: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6"/>
                <w:szCs w:val="16"/>
                <w:i w:val="1"/>
                <w:iCs w:val="1"/>
                <w:color w:val="auto"/>
              </w:rPr>
              <w:t>991</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(203)</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6"/>
                <w:szCs w:val="16"/>
                <w:i w:val="1"/>
                <w:iCs w:val="1"/>
                <w:color w:val="auto"/>
              </w:rPr>
              <w:t>788</w:t>
            </w:r>
          </w:p>
        </w:tc>
        <w:tc>
          <w:tcPr>
            <w:tcW w:w="0" w:type="dxa"/>
            <w:vAlign w:val="bottom"/>
          </w:tcPr>
          <w:p>
            <w:pPr>
              <w:spacing w:after="0"/>
              <w:rPr>
                <w:sz w:val="1"/>
                <w:szCs w:val="1"/>
                <w:color w:val="auto"/>
              </w:rPr>
            </w:pPr>
          </w:p>
        </w:tc>
      </w:tr>
      <w:tr>
        <w:trPr>
          <w:trHeight w:val="267"/>
        </w:trPr>
        <w:tc>
          <w:tcPr>
            <w:tcW w:w="4660" w:type="dxa"/>
            <w:vAlign w:val="bottom"/>
            <w:gridSpan w:val="2"/>
          </w:tcPr>
          <w:p>
            <w:pPr>
              <w:ind w:left="220"/>
              <w:spacing w:after="0"/>
              <w:rPr>
                <w:sz w:val="20"/>
                <w:szCs w:val="20"/>
                <w:color w:val="auto"/>
              </w:rPr>
            </w:pPr>
            <w:r>
              <w:rPr>
                <w:rFonts w:ascii="Arial" w:cs="Arial" w:eastAsia="Arial" w:hAnsi="Arial"/>
                <w:sz w:val="16"/>
                <w:szCs w:val="16"/>
                <w:i w:val="1"/>
                <w:iCs w:val="1"/>
                <w:color w:val="auto"/>
              </w:rPr>
              <w:t>Equity</w:t>
            </w:r>
          </w:p>
        </w:tc>
        <w:tc>
          <w:tcPr>
            <w:tcW w:w="5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6"/>
                <w:szCs w:val="16"/>
                <w:i w:val="1"/>
                <w:iCs w:val="1"/>
                <w:color w:val="auto"/>
              </w:rPr>
              <w:t>765</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4,214</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6"/>
                <w:szCs w:val="16"/>
                <w:i w:val="1"/>
                <w:iCs w:val="1"/>
                <w:color w:val="auto"/>
              </w:rPr>
              <w:t>4,979</w:t>
            </w:r>
          </w:p>
        </w:tc>
        <w:tc>
          <w:tcPr>
            <w:tcW w:w="0" w:type="dxa"/>
            <w:vAlign w:val="bottom"/>
          </w:tcPr>
          <w:p>
            <w:pPr>
              <w:spacing w:after="0"/>
              <w:rPr>
                <w:sz w:val="1"/>
                <w:szCs w:val="1"/>
                <w:color w:val="auto"/>
              </w:rPr>
            </w:pPr>
          </w:p>
        </w:tc>
      </w:tr>
      <w:tr>
        <w:trPr>
          <w:trHeight w:val="273"/>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management</w:t>
            </w:r>
          </w:p>
        </w:tc>
        <w:tc>
          <w:tcPr>
            <w:tcW w:w="5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5,040</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Business development</w:t>
            </w:r>
          </w:p>
        </w:tc>
        <w:tc>
          <w:tcPr>
            <w:tcW w:w="5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Accounting and tax services</w:t>
            </w: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4,288</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Other professional services</w:t>
            </w:r>
          </w:p>
        </w:tc>
        <w:tc>
          <w:tcPr>
            <w:tcW w:w="50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1,921</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7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1,399</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5,189</w:t>
            </w:r>
          </w:p>
        </w:tc>
        <w:tc>
          <w:tcPr>
            <w:tcW w:w="1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6,588</w:t>
            </w:r>
          </w:p>
        </w:tc>
        <w:tc>
          <w:tcPr>
            <w:tcW w:w="0" w:type="dxa"/>
            <w:vAlign w:val="bottom"/>
          </w:tcPr>
          <w:p>
            <w:pPr>
              <w:spacing w:after="0"/>
              <w:rPr>
                <w:sz w:val="1"/>
                <w:szCs w:val="1"/>
                <w:color w:val="auto"/>
              </w:rPr>
            </w:pPr>
          </w:p>
        </w:tc>
      </w:tr>
      <w:tr>
        <w:trPr>
          <w:trHeight w:val="223"/>
        </w:trPr>
        <w:tc>
          <w:tcPr>
            <w:tcW w:w="4660" w:type="dxa"/>
            <w:vAlign w:val="bottom"/>
            <w:gridSpan w:val="2"/>
          </w:tcPr>
          <w:p>
            <w:pPr>
              <w:ind w:left="220"/>
              <w:spacing w:after="0"/>
              <w:rPr>
                <w:sz w:val="20"/>
                <w:szCs w:val="20"/>
                <w:color w:val="auto"/>
              </w:rPr>
            </w:pPr>
            <w:r>
              <w:rPr>
                <w:rFonts w:ascii="Arial" w:cs="Arial" w:eastAsia="Arial" w:hAnsi="Arial"/>
                <w:sz w:val="18"/>
                <w:szCs w:val="18"/>
                <w:color w:val="auto"/>
              </w:rPr>
              <w:t>Total general and administrative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5,890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27,810</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33,700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320" w:top="1178"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178" w:right="9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Non-operating Expense, Net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summary of our non-operating expense, net, for the eight months ended August 31, 2020 and the years ended December 31, 2019 and 2018,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Eight Months Ended</w:t>
            </w:r>
          </w:p>
        </w:tc>
        <w:tc>
          <w:tcPr>
            <w:tcW w:w="140" w:type="dxa"/>
            <w:vAlign w:val="bottom"/>
          </w:tcPr>
          <w:p>
            <w:pPr>
              <w:spacing w:after="0"/>
              <w:rPr>
                <w:sz w:val="17"/>
                <w:szCs w:val="17"/>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7"/>
                <w:szCs w:val="17"/>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Change from</w:t>
            </w:r>
          </w:p>
        </w:tc>
        <w:tc>
          <w:tcPr>
            <w:tcW w:w="14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7"/>
                <w:szCs w:val="17"/>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Change from</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August 31,</w:t>
            </w:r>
          </w:p>
        </w:tc>
        <w:tc>
          <w:tcPr>
            <w:tcW w:w="14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Pr>
          <w:p>
            <w:pPr>
              <w:spacing w:after="0"/>
              <w:rPr>
                <w:sz w:val="20"/>
                <w:szCs w:val="20"/>
                <w:color w:val="auto"/>
              </w:rPr>
            </w:pPr>
          </w:p>
        </w:tc>
        <w:tc>
          <w:tcPr>
            <w:tcW w:w="14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color w:val="auto"/>
              </w:rPr>
              <w:t>Prior Year %</w:t>
            </w:r>
          </w:p>
        </w:tc>
        <w:tc>
          <w:tcPr>
            <w:tcW w:w="14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Prior Year %</w:t>
            </w: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Interest and other income, net</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Gain on sale of intangible assets</w:t>
            </w:r>
          </w:p>
        </w:tc>
        <w:tc>
          <w:tcPr>
            <w:tcW w:w="3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N/M</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gain on investments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N/M</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176"/>
        </w:trPr>
        <w:tc>
          <w:tcPr>
            <w:tcW w:w="3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Loss on exchange and extinguishment of</w:t>
            </w:r>
          </w:p>
        </w:tc>
        <w:tc>
          <w:tcPr>
            <w:tcW w:w="3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(8,430)</w:t>
            </w:r>
          </w:p>
        </w:tc>
        <w:tc>
          <w:tcPr>
            <w:tcW w:w="1600" w:type="dxa"/>
            <w:vAlign w:val="bottom"/>
            <w:gridSpan w:val="2"/>
            <w:vMerge w:val="restart"/>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convertible notes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eight months ended August 31, 2020, compared to the year ended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Total non-operating expense, net, decreased by 36% from $10.3 million for the year ended December 31, 2019 to $6.6 million for the eight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2020, primarily due to:</w:t>
      </w:r>
    </w:p>
    <w:p>
      <w:pPr>
        <w:spacing w:after="0" w:line="4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interest expense in conjunction with the extinguishment of a substantial portion of our convertible notes,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larger loss on the exchange and extinguishment of convertible notes in the prior period,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interest and other income due to lower cash balances in the current period,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the value of our investment in AEON, and</w:t>
      </w:r>
    </w:p>
    <w:p>
      <w:pPr>
        <w:spacing w:after="0" w:line="63" w:lineRule="exact"/>
        <w:rPr>
          <w:rFonts w:ascii="Arial" w:cs="Arial" w:eastAsia="Arial" w:hAnsi="Arial"/>
          <w:sz w:val="18"/>
          <w:szCs w:val="18"/>
          <w:color w:val="auto"/>
        </w:rPr>
      </w:pPr>
    </w:p>
    <w:p>
      <w:pPr>
        <w:ind w:right="1820" w:firstLine="332"/>
        <w:spacing w:after="0" w:line="277" w:lineRule="auto"/>
        <w:tabs>
          <w:tab w:leader="none" w:pos="6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 gain recognized in the prior year on the sale of our Direct Flow Medical, Inc. (“Direct Flow Medical”) intangible assets. </w:t>
      </w:r>
      <w:r>
        <w:rPr>
          <w:rFonts w:ascii="Arial" w:cs="Arial" w:eastAsia="Arial" w:hAnsi="Arial"/>
          <w:sz w:val="18"/>
          <w:szCs w:val="18"/>
          <w:i w:val="1"/>
          <w:iCs w:val="1"/>
          <w:color w:val="auto"/>
        </w:rPr>
        <w:t>For the year ended December 31, 2019, compared to December 31, 2018</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non-operating expenses, net, increased by 94%, or $5.0 million for the year ended December 31, 2019, compared to the year ended December 31, 2018. Non-operating expense, net, increased due to:</w:t>
      </w:r>
    </w:p>
    <w:p>
      <w:pPr>
        <w:spacing w:after="0" w:line="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on the exchange and extinguishment of a portion of our December 2021 Notes and December 2024 Notes,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in interest expense due to the repurchase of some of our convertible notes,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gain recognized in 2019 on the sale of our Direct Flow Medical, Inc.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Income tax benefit from continuing operations for the eight months ended August 31, 2020 and the years ended December 31, 2019 and 2018 was $17.8 million, $4.4 million and $6.8 million, respectively, which resulted primarily from applying the federal statutory income tax rate to loss before income taxes from continuing operations. The tax rate of 29.2% for the eight months ended August 31, 2020 differs from the statutory tax rate of 21% primarily as a result of net operating loss carryback under the CARES Act. The tax rate of 7.2% in 2019 and 17.0% in 2018 differs from the statutory tax rate of 21% primarily as a result of the increase in our valuation allowance in both years and, for 2019, the increase in our unrecognized tax benefits.</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2020, the amount of our unrecognized tax benefits increased by $1.5 million. The future impact of the unrecognized tax benefits of $85.8 million, if recognized, is comprised of $32.6 million, which would affect the effective tax rate, and $53.2 million, which would result in adjustments to deferred tax assets and our valuation allowance.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Estimated interest and penalties associated with unrecognized tax benefits increased our income tax expense in the Consolidated Statements of Operations by $1.0 million during the eight months ended August 31, 2020, $1.6 million during the year ended December 31, 2019 and $1.0 million during the year ended December 31, 2018. Interest and penalties associated with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9" w:name="page30"/>
    <w:bookmarkEnd w:id="29"/>
    <w:p>
      <w:pPr>
        <w:ind w:right="600"/>
        <w:spacing w:after="0" w:line="277" w:lineRule="auto"/>
        <w:rPr>
          <w:sz w:val="20"/>
          <w:szCs w:val="20"/>
          <w:color w:val="auto"/>
        </w:rPr>
      </w:pPr>
      <w:r>
        <w:rPr>
          <w:rFonts w:ascii="Arial" w:cs="Arial" w:eastAsia="Arial" w:hAnsi="Arial"/>
          <w:sz w:val="18"/>
          <w:szCs w:val="18"/>
          <w:color w:val="auto"/>
        </w:rPr>
        <w:t>unrecognized tax benefits accrued on the balance sheet were $11.2 million, $9.7 million and $8.0 million as of December 31, 2020, 2019 and 2018, respectively.</w:t>
      </w:r>
    </w:p>
    <w:p>
      <w:pPr>
        <w:spacing w:after="0" w:line="19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Company’s U.S. federal income tax returns are subject to examination for the tax years 2017 forward, In general, our state and local income tax returns are subject to examination by tax authorities for tax years 2000 forward. We are currently under income tax examination by the State of California for tax years 2009 through 2018. The timing of the resolution of the income tax examination is highly uncertain, and the amount ultimately paid, if any, upon resolution of the issues raised by the taxing authority may differ materially from the amounts accrued for each year. We do not anticipate any material change to the amount of our unrecognized tax benefit over the next 12 months.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 and discontinued operations</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Strategic Positions segment, Pharmaceutical segment and the royalty right assets in the Income Generating Assets segment have been classified as held for sale and reported as discontinued operations. The operating results from discontinued operations are presented separately in the Company’s Consolidated Statements of Operations as discontinued operations. Components of amounts reflected in Loss from discontinued operations are as follows:</w:t>
      </w:r>
    </w:p>
    <w:p>
      <w:pPr>
        <w:spacing w:after="0" w:line="47"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Eight Months</w:t>
            </w:r>
          </w:p>
        </w:tc>
        <w:tc>
          <w:tcPr>
            <w:tcW w:w="300" w:type="dxa"/>
            <w:vAlign w:val="bottom"/>
          </w:tcPr>
          <w:p>
            <w:pPr>
              <w:spacing w:after="0"/>
              <w:rPr>
                <w:sz w:val="16"/>
                <w:szCs w:val="16"/>
                <w:color w:val="auto"/>
              </w:rPr>
            </w:pPr>
          </w:p>
        </w:tc>
        <w:tc>
          <w:tcPr>
            <w:tcW w:w="262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Ended August 31,</w:t>
            </w:r>
          </w:p>
        </w:tc>
        <w:tc>
          <w:tcPr>
            <w:tcW w:w="300" w:type="dxa"/>
            <w:vAlign w:val="bottom"/>
          </w:tcPr>
          <w:p>
            <w:pPr>
              <w:spacing w:after="0"/>
              <w:rPr>
                <w:sz w:val="18"/>
                <w:szCs w:val="18"/>
                <w:color w:val="auto"/>
              </w:rPr>
            </w:pPr>
          </w:p>
        </w:tc>
        <w:tc>
          <w:tcPr>
            <w:tcW w:w="26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Product revenue,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29,479</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55,093</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80,796</w:t>
            </w:r>
          </w:p>
        </w:tc>
        <w:tc>
          <w:tcPr>
            <w:tcW w:w="0" w:type="dxa"/>
            <w:vAlign w:val="bottom"/>
          </w:tcPr>
          <w:p>
            <w:pPr>
              <w:spacing w:after="0"/>
              <w:rPr>
                <w:sz w:val="1"/>
                <w:szCs w:val="1"/>
                <w:color w:val="auto"/>
              </w:rPr>
            </w:pPr>
          </w:p>
        </w:tc>
      </w:tr>
      <w:tr>
        <w:trPr>
          <w:trHeight w:val="267"/>
        </w:trPr>
        <w:tc>
          <w:tcPr>
            <w:tcW w:w="4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Royalty rights - change in fair value</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(8,804)</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(31,042)</w:t>
            </w: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85,287</w:t>
            </w:r>
          </w:p>
        </w:tc>
        <w:tc>
          <w:tcPr>
            <w:tcW w:w="0" w:type="dxa"/>
            <w:vAlign w:val="bottom"/>
          </w:tcPr>
          <w:p>
            <w:pPr>
              <w:spacing w:after="0"/>
              <w:rPr>
                <w:sz w:val="1"/>
                <w:szCs w:val="1"/>
                <w:color w:val="auto"/>
              </w:rPr>
            </w:pPr>
          </w:p>
        </w:tc>
      </w:tr>
      <w:tr>
        <w:trPr>
          <w:trHeight w:val="253"/>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20,675</w:t>
            </w:r>
          </w:p>
        </w:tc>
        <w:tc>
          <w:tcPr>
            <w:tcW w:w="1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24,051</w:t>
            </w:r>
          </w:p>
        </w:tc>
        <w:tc>
          <w:tcPr>
            <w:tcW w:w="1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166,083</w:t>
            </w:r>
          </w:p>
        </w:tc>
        <w:tc>
          <w:tcPr>
            <w:tcW w:w="0" w:type="dxa"/>
            <w:vAlign w:val="bottom"/>
          </w:tcPr>
          <w:p>
            <w:pPr>
              <w:spacing w:after="0"/>
              <w:rPr>
                <w:sz w:val="1"/>
                <w:szCs w:val="1"/>
                <w:color w:val="auto"/>
              </w:rPr>
            </w:pPr>
          </w:p>
        </w:tc>
      </w:tr>
      <w:tr>
        <w:trPr>
          <w:trHeight w:val="247"/>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92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6"/>
              </w:rPr>
              <w:t>Cost of product revenue (excluding intangible asset amortization and</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17,576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36,343</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34,906</w:t>
            </w:r>
          </w:p>
        </w:tc>
        <w:tc>
          <w:tcPr>
            <w:tcW w:w="0" w:type="dxa"/>
            <w:vAlign w:val="bottom"/>
          </w:tcPr>
          <w:p>
            <w:pPr>
              <w:spacing w:after="0"/>
              <w:rPr>
                <w:sz w:val="1"/>
                <w:szCs w:val="1"/>
                <w:color w:val="auto"/>
              </w:rPr>
            </w:pPr>
          </w:p>
        </w:tc>
      </w:tr>
      <w:tr>
        <w:trPr>
          <w:trHeight w:val="212"/>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impairment)</w:t>
            </w: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5,016</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14,536</w:t>
            </w:r>
          </w:p>
        </w:tc>
        <w:tc>
          <w:tcPr>
            <w:tcW w:w="0" w:type="dxa"/>
            <w:vAlign w:val="bottom"/>
          </w:tcPr>
          <w:p>
            <w:pPr>
              <w:spacing w:after="0"/>
              <w:rPr>
                <w:sz w:val="1"/>
                <w:szCs w:val="1"/>
                <w:color w:val="auto"/>
              </w:rPr>
            </w:pPr>
          </w:p>
        </w:tc>
      </w:tr>
      <w:tr>
        <w:trPr>
          <w:trHeight w:val="273"/>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6,105</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w:t>
            </w:r>
          </w:p>
        </w:tc>
        <w:tc>
          <w:tcPr>
            <w:tcW w:w="0" w:type="dxa"/>
            <w:vAlign w:val="bottom"/>
          </w:tcPr>
          <w:p>
            <w:pPr>
              <w:spacing w:after="0"/>
              <w:rPr>
                <w:sz w:val="1"/>
                <w:szCs w:val="1"/>
                <w:color w:val="auto"/>
              </w:rPr>
            </w:pPr>
          </w:p>
        </w:tc>
      </w:tr>
      <w:tr>
        <w:trPr>
          <w:trHeight w:val="267"/>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Sales and marketing</w:t>
            </w:r>
          </w:p>
        </w:tc>
        <w:tc>
          <w:tcPr>
            <w:tcW w:w="1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10,800</w:t>
            </w:r>
          </w:p>
        </w:tc>
        <w:tc>
          <w:tcPr>
            <w:tcW w:w="0" w:type="dxa"/>
            <w:vAlign w:val="bottom"/>
          </w:tcPr>
          <w:p>
            <w:pPr>
              <w:spacing w:after="0"/>
              <w:rPr>
                <w:sz w:val="1"/>
                <w:szCs w:val="1"/>
                <w:color w:val="auto"/>
              </w:rPr>
            </w:pPr>
          </w:p>
        </w:tc>
      </w:tr>
      <w:tr>
        <w:trPr>
          <w:trHeight w:val="273"/>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67"/>
        </w:trPr>
        <w:tc>
          <w:tcPr>
            <w:tcW w:w="4920" w:type="dxa"/>
            <w:vAlign w:val="bottom"/>
            <w:gridSpan w:val="2"/>
          </w:tcPr>
          <w:p>
            <w:pPr>
              <w:ind w:left="220"/>
              <w:spacing w:after="0"/>
              <w:rPr>
                <w:sz w:val="20"/>
                <w:szCs w:val="20"/>
                <w:color w:val="auto"/>
              </w:rPr>
            </w:pPr>
            <w:r>
              <w:rPr>
                <w:rFonts w:ascii="Arial" w:cs="Arial" w:eastAsia="Arial" w:hAnsi="Arial"/>
                <w:sz w:val="16"/>
                <w:szCs w:val="16"/>
                <w:color w:val="auto"/>
              </w:rPr>
              <w:t>Impairment of intangible assets</w:t>
            </w:r>
          </w:p>
        </w:tc>
        <w:tc>
          <w:tcPr>
            <w:tcW w:w="16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22,490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152,330</w:t>
            </w:r>
          </w:p>
        </w:tc>
        <w:tc>
          <w:tcPr>
            <w:tcW w:w="0" w:type="dxa"/>
            <w:vAlign w:val="bottom"/>
          </w:tcPr>
          <w:p>
            <w:pPr>
              <w:spacing w:after="0"/>
              <w:rPr>
                <w:sz w:val="1"/>
                <w:szCs w:val="1"/>
                <w:color w:val="auto"/>
              </w:rPr>
            </w:pPr>
          </w:p>
        </w:tc>
      </w:tr>
      <w:tr>
        <w:trPr>
          <w:trHeight w:val="169"/>
        </w:trPr>
        <w:tc>
          <w:tcPr>
            <w:tcW w:w="492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Change in fair value of anniversary payment and contingent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consideration</w:t>
            </w: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24,327</w:t>
            </w: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72,747</w:t>
            </w: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182,488</w:t>
            </w:r>
          </w:p>
        </w:tc>
        <w:tc>
          <w:tcPr>
            <w:tcW w:w="0" w:type="dxa"/>
            <w:vAlign w:val="bottom"/>
          </w:tcPr>
          <w:p>
            <w:pPr>
              <w:spacing w:after="0"/>
              <w:rPr>
                <w:sz w:val="1"/>
                <w:szCs w:val="1"/>
                <w:color w:val="auto"/>
              </w:rPr>
            </w:pPr>
          </w:p>
        </w:tc>
      </w:tr>
      <w:tr>
        <w:trPr>
          <w:trHeight w:val="253"/>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 from discontinued operations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(48,696)</w:t>
            </w:r>
          </w:p>
        </w:tc>
        <w:tc>
          <w:tcPr>
            <w:tcW w:w="1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(16,405)</w:t>
            </w:r>
          </w:p>
        </w:tc>
        <w:tc>
          <w:tcPr>
            <w:tcW w:w="0" w:type="dxa"/>
            <w:vAlign w:val="bottom"/>
          </w:tcPr>
          <w:p>
            <w:pPr>
              <w:spacing w:after="0"/>
              <w:rPr>
                <w:sz w:val="1"/>
                <w:szCs w:val="1"/>
                <w:color w:val="auto"/>
              </w:rPr>
            </w:pPr>
          </w:p>
        </w:tc>
      </w:tr>
      <w:tr>
        <w:trPr>
          <w:trHeight w:val="247"/>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Non-operating expense (income), net</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affiliate - change in fair value</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(25,365)</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36,402</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Loss on classification as held for sale</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(28,904)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non-operating expense (income), net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(54,269)</w:t>
            </w:r>
          </w:p>
        </w:tc>
        <w:tc>
          <w:tcPr>
            <w:tcW w:w="1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36,402</w:t>
            </w:r>
          </w:p>
        </w:tc>
        <w:tc>
          <w:tcPr>
            <w:tcW w:w="14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920" w:type="dxa"/>
            <w:vAlign w:val="bottom"/>
            <w:gridSpan w:val="2"/>
          </w:tcPr>
          <w:p>
            <w:pPr>
              <w:ind w:left="20"/>
              <w:spacing w:after="0"/>
              <w:rPr>
                <w:sz w:val="20"/>
                <w:szCs w:val="20"/>
                <w:color w:val="auto"/>
              </w:rPr>
            </w:pPr>
            <w:r>
              <w:rPr>
                <w:rFonts w:ascii="Arial" w:cs="Arial" w:eastAsia="Arial" w:hAnsi="Arial"/>
                <w:sz w:val="16"/>
                <w:szCs w:val="16"/>
                <w:color w:val="auto"/>
              </w:rPr>
              <w:t>Loss from discontinued operations before income taxes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(57,921)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(12,294)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(16,405)</w:t>
            </w:r>
          </w:p>
        </w:tc>
        <w:tc>
          <w:tcPr>
            <w:tcW w:w="0" w:type="dxa"/>
            <w:vAlign w:val="bottom"/>
          </w:tcPr>
          <w:p>
            <w:pPr>
              <w:spacing w:after="0"/>
              <w:rPr>
                <w:sz w:val="1"/>
                <w:szCs w:val="1"/>
                <w:color w:val="auto"/>
              </w:rPr>
            </w:pPr>
          </w:p>
        </w:tc>
      </w:tr>
      <w:tr>
        <w:trPr>
          <w:trHeight w:val="270"/>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(benefit) expense from discontinued operations</w:t>
            </w: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(23,006)</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19,689</w:t>
            </w:r>
          </w:p>
        </w:tc>
        <w:tc>
          <w:tcPr>
            <w:tcW w:w="0" w:type="dxa"/>
            <w:vAlign w:val="bottom"/>
          </w:tcPr>
          <w:p>
            <w:pPr>
              <w:spacing w:after="0"/>
              <w:rPr>
                <w:sz w:val="1"/>
                <w:szCs w:val="1"/>
                <w:color w:val="auto"/>
              </w:rPr>
            </w:pPr>
          </w:p>
        </w:tc>
      </w:tr>
      <w:tr>
        <w:trPr>
          <w:trHeight w:val="226"/>
        </w:trPr>
        <w:tc>
          <w:tcPr>
            <w:tcW w:w="492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(34,915)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(13,597)</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(36,094)</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0" w:name="page31"/>
    <w:bookmarkEnd w:id="30"/>
    <w:p>
      <w:pPr>
        <w:ind w:right="120"/>
        <w:spacing w:after="0" w:line="277" w:lineRule="auto"/>
        <w:rPr>
          <w:sz w:val="20"/>
          <w:szCs w:val="20"/>
          <w:color w:val="auto"/>
        </w:rPr>
      </w:pPr>
      <w:r>
        <w:rPr>
          <w:rFonts w:ascii="Arial" w:cs="Arial" w:eastAsia="Arial" w:hAnsi="Arial"/>
          <w:sz w:val="18"/>
          <w:szCs w:val="18"/>
          <w:color w:val="auto"/>
        </w:rPr>
        <w:t>The following tables provides a summary of activity with respect to our royalty rights assets in discontinued operations for the eight months ended August 31, 2020 and the year ended December 31, 2019:</w:t>
      </w:r>
    </w:p>
    <w:p>
      <w:pPr>
        <w:spacing w:after="0" w:line="112"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b w:val="1"/>
                <w:bCs w:val="1"/>
                <w:color w:val="auto"/>
                <w:w w:val="90"/>
              </w:rPr>
              <w:t>Eight Months Ended August 31, 2020</w:t>
            </w:r>
          </w:p>
        </w:tc>
      </w:tr>
      <w:tr>
        <w:trPr>
          <w:trHeight w:val="237"/>
        </w:trPr>
        <w:tc>
          <w:tcPr>
            <w:tcW w:w="4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Change in</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Cash Royalties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5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Assertio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29,926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(18,209)</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11,717</w:t>
            </w:r>
          </w:p>
        </w:tc>
      </w:tr>
      <w:tr>
        <w:trPr>
          <w:trHeight w:val="27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VB</w:t>
            </w:r>
          </w:p>
        </w:tc>
        <w:tc>
          <w:tcPr>
            <w:tcW w:w="1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(8,796)</w:t>
            </w:r>
          </w:p>
        </w:tc>
      </w:tr>
      <w:tr>
        <w:trPr>
          <w:trHeight w:val="27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U-M</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r>
      <w:tr>
        <w:trPr>
          <w:trHeight w:val="27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AcelRx</w:t>
            </w:r>
          </w:p>
        </w:tc>
        <w:tc>
          <w:tcPr>
            <w:tcW w:w="1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(12,952)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(12,758)</w:t>
            </w:r>
          </w:p>
        </w:tc>
      </w:tr>
      <w:tr>
        <w:trPr>
          <w:trHeight w:val="27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KYBELLA</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3"/>
        </w:trPr>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35,129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(8,804)</w:t>
            </w: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2019</w:t>
            </w:r>
          </w:p>
        </w:tc>
        <w:tc>
          <w:tcPr>
            <w:tcW w:w="980" w:type="dxa"/>
            <w:vAlign w:val="bottom"/>
            <w:tcBorders>
              <w:bottom w:val="single" w:sz="8" w:color="auto"/>
            </w:tcBorders>
          </w:tcPr>
          <w:p>
            <w:pPr>
              <w:spacing w:after="0"/>
              <w:rPr>
                <w:sz w:val="20"/>
                <w:szCs w:val="20"/>
                <w:color w:val="auto"/>
              </w:rPr>
            </w:pPr>
          </w:p>
        </w:tc>
      </w:tr>
      <w:tr>
        <w:trPr>
          <w:trHeight w:val="237"/>
        </w:trPr>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 in</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Cash Royalties</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5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Assertio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(45,699)</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26,526</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VB</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U-M</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7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AcelRx</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(57,428)</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(57,121)</w:t>
            </w:r>
          </w:p>
        </w:tc>
      </w:tr>
      <w:tr>
        <w:trPr>
          <w:trHeight w:val="27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KYBELLA</w:t>
            </w: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23"/>
        </w:trPr>
        <w:tc>
          <w:tcPr>
            <w:tcW w:w="4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(110,314)</w:t>
            </w:r>
          </w:p>
        </w:tc>
        <w:tc>
          <w:tcPr>
            <w:tcW w:w="14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(31,042)</w:t>
            </w:r>
          </w:p>
        </w:tc>
      </w:tr>
      <w:tr>
        <w:trPr>
          <w:trHeight w:val="20"/>
        </w:trPr>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adjustment to the fair value of the AcelRx royalty asset in the second quarter of 2019 was due to the slower than expected adoption of Zalviso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since its initial launch relative to our estimates and the increased variance noted between our forecast model and actual results in the second quarter of 2019. We engaged a third-party expert in the second quarter of 2019 to reassess the market and expectations for the product. Key findings from the third-party study included: the post-surgical PCA (Patient-Controlled Analgesia) market being smaller than previously forecasted; the higher price of the product relative to alternative therapies, the product not being used as a replacement for systemic opioids and the design of the delivery device, which is pre-filled for up to three days of treatment, which limited its use for procedures with anticipated shorter recovery times.</w:t>
      </w:r>
    </w:p>
    <w:p>
      <w:pPr>
        <w:spacing w:after="0" w:line="2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adjustment to the fair value of the Assertio royalty asset in the fourth quarter of 2019 was due to a decrease in the sales forecast for the Assertio products. We engaged a third-party expert in the fourth quarter of 2019 to reassess the market and expectations for the royalty asset. Key findings from the third-party study included: an anticipated decrease in the Glumetza net sales forecast due to an accelerated shift in the channel mix resulting in a substantial decline in net selling prices, particularly in the fourth quarter of 2019 and beyond, as previously announced by Bausch Health and the delayed launch dates of the extended release products in the Assertio royalty asset portfolio outside of the United States.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from our Pharmaceutical segment for the eight months ended August 31, 2020 was $29.5 million, a decrease of 46% when compared to the year ended December 31, 2019. All revenues from our Pharmaceutical segment were derived from sales of the Noden Products. The decrease in revenue from our Pharmaceutical segment reflects a shorter measurement period as well as lower net revenues in the United States and the rest of the world. The decrease in revenue from our Pharmaceutical segment in the United States for the eight months ended August 31, 2020 reflects the introduction of our authorized generic of Tekturna and a third-party generic of aliskiren late in the first quarter of 2019. The decrease in revenue for the rest of the world is due to lower sales volume of Rasilez in certain territories.</w:t>
      </w: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Revenue from our Pharmaceutical segment for the year ended December 31, 2019 was $55.1 million, a decrease of 32% when compared to the same period in 2018. The decrease in revenue from our Pharmaceutical segment reflects lower net revenues in the United States and the rest of the world. In particular, the decrease in revenue from our Pharmaceutical segment in the United States for the year ended December 31, 2019 reflects the introduction of our authorized generic form of Tekturna and a third-party generic form of aliskiren during the year ended December 31, 2019. The decrease in revenue for the rest of the world is due to lower sales volume of Rasilez in certain territories. This increase in cost of goods sold, compared to the prior year is due to the higher percentage of authorized generic sales in the current period and costs associated with the amended Novartis supply</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31" w:name="page32"/>
    <w:bookmarkEnd w:id="31"/>
    <w:p>
      <w:pPr>
        <w:ind w:right="420"/>
        <w:spacing w:after="0" w:line="263" w:lineRule="auto"/>
        <w:rPr>
          <w:sz w:val="20"/>
          <w:szCs w:val="20"/>
          <w:color w:val="auto"/>
        </w:rPr>
      </w:pPr>
      <w:r>
        <w:rPr>
          <w:rFonts w:ascii="Arial" w:cs="Arial" w:eastAsia="Arial" w:hAnsi="Arial"/>
          <w:sz w:val="18"/>
          <w:szCs w:val="18"/>
          <w:color w:val="auto"/>
        </w:rPr>
        <w:t>agreement. Sales and marketing expenses have decreased substantially while the portion of general and administrative expenses attributable to the Pharmaceutical segment decreased as well. Intangible assets amortization expense decreased after Noden’s intangible assets were impaired at June 30, 2018.</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Expenses decreased in our Pharmaceutical segment by 70%, or $50.0 million for the eight months ended August 31, 2020, when compared to the year ended December 31, 2019. The decrease was primarily a result of:</w:t>
      </w:r>
    </w:p>
    <w:p>
      <w:pPr>
        <w:spacing w:after="0" w:line="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shorter measurement period in the current 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cost of sales due to decreased sales in the current year period,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amortization expense for the Noden intangible assets in 2020 resulting from the accounting for discontinued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sales and marketing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Expenses decreased in our Pharmaceutical segment by 61%, or $110.4 million for the year ended December 31, 2019, when compared to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decrease was primarily a result of:</w:t>
      </w:r>
    </w:p>
    <w:p>
      <w:pPr>
        <w:spacing w:after="0" w:line="4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$22.5 million impairment of the Noden intangible asset in the current year compared to a $152.3 million impairment in 2018,</w:t>
      </w:r>
    </w:p>
    <w:p>
      <w:pPr>
        <w:spacing w:after="0" w:line="63"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amortization expense for the Noden intangible assets in 2019 resulting from the impairment recorded in 2018 due to the increased probability of a third-party generic form of aliskiren being launched in the United States,</w:t>
      </w:r>
    </w:p>
    <w:p>
      <w:pPr>
        <w:spacing w:after="0" w:line="8" w:lineRule="exact"/>
        <w:rPr>
          <w:rFonts w:ascii="Arial" w:cs="Arial" w:eastAsia="Arial" w:hAnsi="Arial"/>
          <w:sz w:val="18"/>
          <w:szCs w:val="18"/>
          <w:color w:val="auto"/>
        </w:rPr>
      </w:pPr>
    </w:p>
    <w:p>
      <w:pPr>
        <w:ind w:left="660" w:right="60" w:hanging="328"/>
        <w:spacing w:after="0" w:line="286"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lower sales and marketing expenses reflecting the cost savings from the change in our marketing strategy to a non-personal promotion strategy for the Noden Products in anticipation of a launch of a third-party generic form of aliskiren. This non-personal promotion strategy was subsequently discontinued upon the launch of our authorized generic form of Tekturna in the first quarter of 2019, partially offset by,</w:t>
      </w:r>
    </w:p>
    <w:p>
      <w:pPr>
        <w:spacing w:after="0" w:line="3"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favorable adjustment to the Noden acquisition related contingent consideration, which was first reduced in the second quarter of 2018 prompted by the increased probability of a third-party generic form of aliskiren being launched in the United States and subsequently eliminated in the fourth quarter of 2018 when the launch was imminent.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for the eight months ended August 31, 2020 and the years ended December 31, 2019 and 2018, is presented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Eight Months Ended</w:t>
            </w:r>
          </w:p>
        </w:tc>
        <w:tc>
          <w:tcPr>
            <w:tcW w:w="320" w:type="dxa"/>
            <w:vAlign w:val="bottom"/>
          </w:tcPr>
          <w:p>
            <w:pPr>
              <w:spacing w:after="0"/>
              <w:rPr>
                <w:sz w:val="18"/>
                <w:szCs w:val="18"/>
                <w:color w:val="auto"/>
              </w:rPr>
            </w:pPr>
          </w:p>
        </w:tc>
        <w:tc>
          <w:tcPr>
            <w:tcW w:w="2740" w:type="dxa"/>
            <w:vAlign w:val="bottom"/>
            <w:gridSpan w:val="4"/>
            <w:vMerge w:val="restart"/>
          </w:tcPr>
          <w:p>
            <w:pPr>
              <w:jc w:val="right"/>
              <w:ind w:right="45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August 31,</w:t>
            </w:r>
          </w:p>
        </w:tc>
        <w:tc>
          <w:tcPr>
            <w:tcW w:w="320" w:type="dxa"/>
            <w:vAlign w:val="bottom"/>
          </w:tcPr>
          <w:p>
            <w:pPr>
              <w:spacing w:after="0"/>
              <w:rPr>
                <w:sz w:val="19"/>
                <w:szCs w:val="19"/>
                <w:color w:val="auto"/>
              </w:rPr>
            </w:pPr>
          </w:p>
        </w:tc>
        <w:tc>
          <w:tcPr>
            <w:tcW w:w="27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4"/>
        </w:trPr>
        <w:tc>
          <w:tcPr>
            <w:tcW w:w="6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 - basic:</w:t>
            </w: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Net loss attributable to PDL’s shareholders per basic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loss per share - diluted:</w:t>
            </w: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PDL’s shareholders per diluted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February 2020, our Board approved the Plan of Liquidation. In August 2020, we received stockholder approval to dissolve our Company under Delaware law and in January 2021 we filed a certificate of dissolution in Delaware. Our liquidity and capital resource needs in dissolution primarily consist of managing the successful wind down of our business and distributing the remaining net proceeds to our stockholders,</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previously financed our operations primarily through royalty and other license-related revenues, public and private placements of debt and equity securities, interest income on invested capital and cash generated from pharmaceutical and medical device product sales. During 2020, we also generated cash from the sale of several assets in our portfolio, including our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2" w:name="page33"/>
    <w:bookmarkEnd w:id="32"/>
    <w:p>
      <w:pPr>
        <w:jc w:val="both"/>
        <w:ind w:right="60"/>
        <w:spacing w:after="0" w:line="263" w:lineRule="auto"/>
        <w:rPr>
          <w:sz w:val="20"/>
          <w:szCs w:val="20"/>
          <w:color w:val="auto"/>
        </w:rPr>
      </w:pPr>
      <w:r>
        <w:rPr>
          <w:rFonts w:ascii="Arial" w:cs="Arial" w:eastAsia="Arial" w:hAnsi="Arial"/>
          <w:sz w:val="18"/>
          <w:szCs w:val="18"/>
          <w:color w:val="auto"/>
        </w:rPr>
        <w:t>Pharmaceutical segment and certain royalty rights assets included in our Income Generating Assets’ segment. We plan to finance our operations in the near term primarily through existing cash, from our remaining royalty rights assets until such assets are sold or placed in a liquidating trust and from additional cash proceeds from the sale of one or more of the assets in our portfolio.</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we expect to generate additional cash from the recovery under the CARES Act of previous taxes paid and from the collection of additional amounts owed from prior assets sales, primarily the sale of our Pharmaceutical segment.</w:t>
      </w:r>
    </w:p>
    <w:p>
      <w:pPr>
        <w:spacing w:after="0" w:line="19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September 2020, we sold our interests in Noden DAC and Noden USA which comprised our Pharmaceutical segment. Upon closing, we were released of our guarantee to Novartis under Noden’s supply agreement. Under the terms of the sale of our interests in Noden DAC and Noden USA, we received proceeds of $12.2 million on September 9, 2020, the closing date of the transaction. We are also entitled to recover $0.5 million related to VAT for inventory purchases from Novartis. The agreement provides for an additional $33.0 million to be paid to the us in twelve equal quarterly installments from January 2021 to October 2023, of which the first installment has been received. An additional $3.9 million will be paid in four equal quarterly installments from January 2023 to October 2023. The agreement also provides for the potential for additional contingent payments to us. We are entitled to receive $2.5 million upon Stanley Capital or any of its affiliates entering into a binding agreement for a specified transaction within one year of the closing date. We are also entitled to 50% of a license fee from a third party distributor within 10 days of receipt by Noden.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capital requirements primarily relate to the costs to wind down the Company, including expenses to manage the remaining business, such as salaries and other employee compensation, rental payments, insurance, and taxes, contractual obligations to current and former employees (e.g., true-up payments to holders of stock options that vested prior to the filing for dissolution) and other legal, accounting, financial advisory and consultant fees, which will reduce any amounts available for distribution to our stockholders.</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9, 2019, we announced that our Board authorized the repurchase of issued and outstanding shares of our common stock and convertible notes up to an aggregate value of $200.0 million pursuant to a share repurchase program. On December 16, 2019, we announced that our Board approved a $75.0 million increase to this repurchase program. Repurchases under this program were eligible to be made from time to time in the open market or in privately negotiated transactions and funded from our working capital. Common stock and convertible note repurchases were also eligible to be made under a trading plan under Rule 10b5-1, which would permit shares and convertible notes to be repurchased when we might otherwise be precluded from doing so because of self-imposed trading blackout periods or other regulatory restrictions. The 10b5-1 plan was terminated on May 31, 2020 in consideration of the impact and uncertainty introduced by the COVID-19 pandemic on our monetization process and no common stock was repurchased after this date. All shares of common stock repurchased under our repurchase program were retired and restored to authorized but unissued shares of common stock. All convertible notes repurchased under the program were retired as will any additional convertible notes that may be repurchased prior to their scheduled maturity on December 1, 2021.</w:t>
      </w:r>
    </w:p>
    <w:p>
      <w:pPr>
        <w:spacing w:after="0" w:line="21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debt service obligations consist of interest payments and repayment of our December 2021 Notes. As of December 31, 2020 approximately $2.3 million in aggregate principal amount of December 2021 Notes outstanding of which $1.9 million par value was repurchased prior to December 31, 2021 but pending settlement. We may continue to repurchase the remaining outstanding December 2021 Notes with cash on hand.</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had cash and cash equivalents in the aggregate of $126.8 million and $169.0 million at December 31, 2020 and 2019, respectively, representing a decrease of $42.2 million. The decrease was primarily attributable to the repurchase of the December 2021 Notes and December 2024 Notes and the repurchase of stock, partially offset by cash received from royalties, cash received from the sale of the Wellstat receivable (including the subsequent sale of the Settlement Agreement) and the sale of the Noden entities and certain royalty rights assets.</w:t>
      </w:r>
    </w:p>
    <w:p>
      <w:pPr>
        <w:spacing w:after="0" w:line="19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believe that cash on hand and cash generated from the above-described sources, net of operating expenses, debt service and income taxes, will be sufficient to fund our wind-down operations until all net proceeds are distributed to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did not have any off-balance sheet arrangements, as defined under SEC Regulation S-K Item 303(a)(4)(ii).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8440" w:type="dxa"/>
            <w:vAlign w:val="bottom"/>
            <w:gridSpan w:val="11"/>
          </w:tcPr>
          <w:p>
            <w:pPr>
              <w:spacing w:after="0"/>
              <w:rPr>
                <w:sz w:val="20"/>
                <w:szCs w:val="20"/>
                <w:color w:val="auto"/>
              </w:rPr>
            </w:pPr>
            <w:r>
              <w:rPr>
                <w:rFonts w:ascii="Arial" w:cs="Arial" w:eastAsia="Arial" w:hAnsi="Arial"/>
                <w:sz w:val="18"/>
                <w:szCs w:val="18"/>
                <w:color w:val="auto"/>
                <w:w w:val="91"/>
              </w:rPr>
              <w:t>The following table summarizes our contractual obligations and commercial commitments as of December 31, 2020: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1"/>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Payments Due by Period</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3"/>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Less than 1 year</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 years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3-5 years</w:t>
            </w:r>
          </w:p>
        </w:tc>
        <w:tc>
          <w:tcPr>
            <w:tcW w:w="2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04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4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Convertible notes </w:t>
            </w:r>
            <w:r>
              <w:rPr>
                <w:rFonts w:ascii="Arial" w:cs="Arial" w:eastAsia="Arial" w:hAnsi="Arial"/>
                <w:sz w:val="23"/>
                <w:szCs w:val="23"/>
                <w:color w:val="auto"/>
                <w:vertAlign w:val="superscript"/>
              </w:rPr>
              <w:t>2</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48"/>
        </w:trPr>
        <w:tc>
          <w:tcPr>
            <w:tcW w:w="41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obligations</w:t>
            </w: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_____________________________</w:t>
      </w:r>
    </w:p>
    <w:p>
      <w:pPr>
        <w:spacing w:after="0" w:line="53" w:lineRule="exact"/>
        <w:rPr>
          <w:sz w:val="20"/>
          <w:szCs w:val="20"/>
          <w:color w:val="auto"/>
        </w:rPr>
      </w:pPr>
    </w:p>
    <w:p>
      <w:pPr>
        <w:ind w:left="740" w:right="540" w:hanging="84"/>
        <w:spacing w:after="0" w:line="227" w:lineRule="auto"/>
        <w:tabs>
          <w:tab w:leader="none" w:pos="762"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Amounts represent the lease for our offices in Reno, Nevada and do not include estimated remaining lease payments guaranteed under the Redwood City lease discussed below.</w:t>
      </w:r>
    </w:p>
    <w:p>
      <w:pPr>
        <w:ind w:left="740" w:hanging="84"/>
        <w:spacing w:after="0" w:line="219" w:lineRule="auto"/>
        <w:tabs>
          <w:tab w:leader="none" w:pos="762"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Amount represents estimated remaining principal and cash interest payments due on the December 2021 Notes and excludes amounts paid before December 31, 2020 for an unsettled trade totaling $1.9 million.</w:t>
      </w:r>
    </w:p>
    <w:p>
      <w:pPr>
        <w:spacing w:after="0" w:line="23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liability for uncertain tax positions was $35.3 million as of December 31, 2020, all of which has been excluded from the table above due to the uncertainty in the timing of the settlement of these positions.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above table excludes any contractually committed wind down payments due to stock option holders discussed under Guarantees below as the amount and timing of such payments, if any, is uncertain.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After the sale of Noden and the spin-off of LENSAR, we no longer have any purchase obligations and were released from all of our guarantees for purchase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Redwood City Lease Guarantee</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connection with the spin-off of Facet in December 2008, we entered into amendments to the leases for our former facilities in Redwood City, California, under which Facet was added as a co-tenant and a Co-Tenancy Agreement, under which Facet agreed to indemnify us for all matters related to the leases attributable to the period after the spin-off date. In April 2010, Abbott Laboratories acquired Facet and later renamed the entity AbbVie Biotherapeutics, Inc. (“AbbVie”). If AbbVie were to default under its lease obligations, we could be held liable by the landlord as a co-tenant, and, thus, we have in substance guaranteed the payments under the lease agreements for the Redwood City facilities. As of December 31, 2020, the total lease payments for the duration of the guarantee, which runs through December 2021, are approximately $11.3 million. For additional information regarding our lease guarantee,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 Down Payments to Stock Option Holders</w:t>
      </w:r>
    </w:p>
    <w:p>
      <w:pPr>
        <w:spacing w:after="0" w:line="25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December 21, 2019, the Compensation Committee of the Board adopted a Wind Down Retention Plan in which our executive officers and other employees who are participants in the Company’s Severance Plan are eligible to participate. The Wind Down Retention Plan provides for equitable adjustments to outstanding stock options held by participants to ensure such participants realize the same benefits provided to shareholders in the event one or more cash or other distributions become payable to shareholders. Consistent with the existing terms of the Equity Plan, in the event one or more cash or other distributions are paid to shareholders, the exercise price of outstanding stock options will be reduced on a dollar-for-dollar basis to reflect the per share value of such cash or other distributions. In the event that the Company declares cash or other distributions that, in the aggregate, exceed the difference between the exercise price of an outstanding stock option and the par value of the underlying shares ($0.01), the holder of such stock option will be entitled to receive from the Company a cash payment in an amount equal to the number of shares subject to such stock option multiplied by the per share amount of the cash or other distribution that exceeds the difference between exercise price of the outstanding option and the par value of the underlying shares (a “true-up payment”). As of January 4, 2021, the date we filed our Certificate of Dissolution, the Company was unable to issue stock for any purpose, including to cover the exercise of employee options, and as a result such options became unexercisable. For a full discussion regarding the Wind-Down Retention Plan, including benefits conferred on employee option holders post-dissolution, please see Item 11.</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Sensitive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for changes in interest rates relates primarily to our excess cash investments and our convertible notes.</w:t>
      </w:r>
    </w:p>
    <w:p>
      <w:pPr>
        <w:spacing w:after="0" w:line="25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excess cash investments consist of Rule 2a-7 money market funds and had a fair value of approximately $51.2 million at December 31, 2020 and $131.3 million at December 31, 2019. Due to the short duration of these investments, with a maximum weighted average maturity of 60 days or less, if market interest rates were to increase or decrease by 1%, there would be no material impact on the fair value of our portfolio.</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December 31, 2020, our convertible notes consisted of $2.3 million in principal of the December 2021 Notes with an annual fixed interest rate of 2.75%, of which $1.9 million par value was acquired before December 31, 2020 in a transaction that remained unsettled at year end. The aggregate fair value of our convertible notes was estimated to be $33.9 million at December 31, 2019. At December 31, 2019 our convertible notes consisted of the December 2021 Notes and the December 2024 Notes. The December 2024 Notes had an annual fixed interest rate of 2.75% and a principal accretion rate of 2.375% per year. Changes in interest rates do not affect interest expense on fixed rate debt. While changes in interest rates do not impact the amount of interest we pay, these obligations are subject to interest rate risk because changes in interest rates would affect the fair values of fixed rate debt.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9460" w:type="dxa"/>
            <w:vAlign w:val="bottom"/>
            <w:gridSpan w:val="9"/>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00" w:type="dxa"/>
            <w:vAlign w:val="bottom"/>
            <w:gridSpan w:val="7"/>
          </w:tcPr>
          <w:p>
            <w:pPr>
              <w:ind w:left="260"/>
              <w:spacing w:after="0"/>
              <w:rPr>
                <w:sz w:val="20"/>
                <w:szCs w:val="20"/>
                <w:color w:val="auto"/>
              </w:rPr>
            </w:pPr>
            <w:r>
              <w:rPr>
                <w:rFonts w:ascii="Arial" w:cs="Arial" w:eastAsia="Arial" w:hAnsi="Arial"/>
                <w:sz w:val="18"/>
                <w:szCs w:val="18"/>
                <w:b w:val="1"/>
                <w:bCs w:val="1"/>
                <w:color w:val="auto"/>
              </w:rPr>
              <w:t>Index to Consolidated Financial Statements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2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360" w:type="dxa"/>
            <w:vAlign w:val="bottom"/>
            <w:gridSpan w:val="11"/>
          </w:tcPr>
          <w:p>
            <w:pPr>
              <w:spacing w:after="0" w:line="190" w:lineRule="exact"/>
              <w:rPr>
                <w:rFonts w:ascii="Arial" w:cs="Arial" w:eastAsia="Arial" w:hAnsi="Arial"/>
                <w:sz w:val="18"/>
                <w:szCs w:val="18"/>
                <w:color w:val="0000FF"/>
              </w:rPr>
            </w:pPr>
            <w:hyperlink w:anchor="page36">
              <w:r>
                <w:rPr>
                  <w:rFonts w:ascii="Arial" w:cs="Arial" w:eastAsia="Arial" w:hAnsi="Arial"/>
                  <w:sz w:val="18"/>
                  <w:szCs w:val="18"/>
                  <w:color w:val="0000FF"/>
                </w:rPr>
                <w:t>Report of Independent Registered Public Accounting Firm</w:t>
              </w:r>
            </w:hyperlink>
          </w:p>
        </w:tc>
        <w:tc>
          <w:tcPr>
            <w:tcW w:w="840" w:type="dxa"/>
            <w:vAlign w:val="bottom"/>
            <w:gridSpan w:val="2"/>
          </w:tcPr>
          <w:p>
            <w:pPr>
              <w:jc w:val="right"/>
              <w:spacing w:after="0" w:line="190" w:lineRule="exact"/>
              <w:rPr>
                <w:rFonts w:ascii="Arial" w:cs="Arial" w:eastAsia="Arial" w:hAnsi="Arial"/>
                <w:sz w:val="18"/>
                <w:szCs w:val="18"/>
                <w:color w:val="0000FF"/>
              </w:rPr>
            </w:pPr>
            <w:hyperlink w:anchor="page36">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Statement of Net Assets in Liquidation as of December 31, 2020</w:t>
              </w:r>
            </w:hyperlink>
          </w:p>
        </w:tc>
        <w:tc>
          <w:tcPr>
            <w:tcW w:w="570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40</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 xml:space="preserve">Consolidated Balance Sheet at December 31, </w:t>
              </w:r>
            </w:hyperlink>
            <w:r>
              <w:rPr>
                <w:rFonts w:ascii="Arial" w:cs="Arial" w:eastAsia="Arial" w:hAnsi="Arial"/>
                <w:sz w:val="18"/>
                <w:szCs w:val="18"/>
                <w:color w:val="0000FF"/>
                <w:w w:val="88"/>
              </w:rPr>
              <w:t>2019</w:t>
            </w:r>
          </w:p>
        </w:tc>
        <w:tc>
          <w:tcPr>
            <w:tcW w:w="6700" w:type="dxa"/>
            <w:vAlign w:val="bottom"/>
            <w:gridSpan w:val="7"/>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41</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Statement of Changes in Net Assets in Liquidation for the four months ended December 31, 2020</w:t>
              </w:r>
            </w:hyperlink>
          </w:p>
        </w:tc>
        <w:tc>
          <w:tcPr>
            <w:tcW w:w="332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 xml:space="preserve">Consolidated Statements of Operations for the eight months ended August 31, </w:t>
              </w:r>
            </w:hyperlink>
            <w:r>
              <w:rPr>
                <w:rFonts w:ascii="Arial" w:cs="Arial" w:eastAsia="Arial" w:hAnsi="Arial"/>
                <w:sz w:val="18"/>
                <w:szCs w:val="18"/>
                <w:color w:val="0000FF"/>
                <w:w w:val="89"/>
              </w:rPr>
              <w:t xml:space="preserve">2020, </w:t>
            </w:r>
            <w:hyperlink w:anchor="page41">
              <w:r>
                <w:rPr>
                  <w:rFonts w:ascii="Arial" w:cs="Arial" w:eastAsia="Arial" w:hAnsi="Arial"/>
                  <w:sz w:val="18"/>
                  <w:szCs w:val="18"/>
                  <w:color w:val="0000FF"/>
                  <w:w w:val="89"/>
                </w:rPr>
                <w:t>and the years ended December 31, 2019 and 2018</w:t>
              </w:r>
            </w:hyperlink>
          </w:p>
        </w:tc>
        <w:tc>
          <w:tcPr>
            <w:tcW w:w="64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60" w:type="dxa"/>
            <w:vAlign w:val="bottom"/>
            <w:gridSpan w:val="11"/>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Consolidated Statements of Comprehensive Loss for the eight months ended August 31, 2020, and the years ended December 31, 2019 and</w:t>
              </w:r>
            </w:hyperlink>
          </w:p>
        </w:tc>
        <w:tc>
          <w:tcPr>
            <w:tcW w:w="660" w:type="dxa"/>
            <w:vAlign w:val="bottom"/>
            <w:vMerge w:val="restart"/>
          </w:tcPr>
          <w:p>
            <w:pPr>
              <w:spacing w:after="0"/>
              <w:rPr>
                <w:sz w:val="18"/>
                <w:szCs w:val="18"/>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44</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1">
              <w:r>
                <w:rPr>
                  <w:rFonts w:ascii="Arial" w:cs="Arial" w:eastAsia="Arial" w:hAnsi="Arial"/>
                  <w:sz w:val="18"/>
                  <w:szCs w:val="18"/>
                  <w:color w:val="0000FF"/>
                  <w:w w:val="84"/>
                </w:rPr>
                <w:t>2018</w:t>
              </w:r>
            </w:hyperlink>
          </w:p>
        </w:tc>
        <w:tc>
          <w:tcPr>
            <w:tcW w:w="54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2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60" w:type="dxa"/>
            <w:vAlign w:val="bottom"/>
            <w:gridSpan w:val="11"/>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Consolidated Statements of Stockholders’ Equity for the eight months ended August 31, 2020, and the years ended December 31, 2019 and</w:t>
              </w:r>
            </w:hyperlink>
          </w:p>
        </w:tc>
        <w:tc>
          <w:tcPr>
            <w:tcW w:w="660" w:type="dxa"/>
            <w:vAlign w:val="bottom"/>
            <w:vMerge w:val="restart"/>
          </w:tcPr>
          <w:p>
            <w:pPr>
              <w:spacing w:after="0"/>
              <w:rPr>
                <w:sz w:val="18"/>
                <w:szCs w:val="18"/>
                <w:color w:val="auto"/>
              </w:rPr>
            </w:pPr>
          </w:p>
        </w:tc>
        <w:tc>
          <w:tcPr>
            <w:tcW w:w="180" w:type="dxa"/>
            <w:vAlign w:val="bottom"/>
            <w:vMerge w:val="restart"/>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1">
              <w:r>
                <w:rPr>
                  <w:rFonts w:ascii="Arial" w:cs="Arial" w:eastAsia="Arial" w:hAnsi="Arial"/>
                  <w:sz w:val="18"/>
                  <w:szCs w:val="18"/>
                  <w:color w:val="0000FF"/>
                  <w:w w:val="84"/>
                </w:rPr>
                <w:t>2018</w:t>
              </w:r>
            </w:hyperlink>
          </w:p>
        </w:tc>
        <w:tc>
          <w:tcPr>
            <w:tcW w:w="54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26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60" w:type="dxa"/>
            <w:vAlign w:val="bottom"/>
            <w:gridSpan w:val="11"/>
          </w:tcPr>
          <w:p>
            <w:pPr>
              <w:spacing w:after="0"/>
              <w:rPr>
                <w:rFonts w:ascii="Arial" w:cs="Arial" w:eastAsia="Arial" w:hAnsi="Arial"/>
                <w:sz w:val="18"/>
                <w:szCs w:val="18"/>
                <w:color w:val="0000FF"/>
                <w:w w:val="94"/>
              </w:rPr>
            </w:pPr>
            <w:hyperlink w:anchor="page44">
              <w:r>
                <w:rPr>
                  <w:rFonts w:ascii="Arial" w:cs="Arial" w:eastAsia="Arial" w:hAnsi="Arial"/>
                  <w:sz w:val="18"/>
                  <w:szCs w:val="18"/>
                  <w:color w:val="0000FF"/>
                  <w:w w:val="94"/>
                </w:rPr>
                <w:t xml:space="preserve">Consolidated Statements of Cash Flows for the </w:t>
              </w:r>
            </w:hyperlink>
            <w:hyperlink w:anchor="page41">
              <w:r>
                <w:rPr>
                  <w:rFonts w:ascii="Arial" w:cs="Arial" w:eastAsia="Arial" w:hAnsi="Arial"/>
                  <w:sz w:val="18"/>
                  <w:szCs w:val="18"/>
                  <w:color w:val="0000FF"/>
                  <w:w w:val="94"/>
                </w:rPr>
                <w:t>eight months ended August 31, 2020, and the years ended December 31, 2019 and 2018</w:t>
              </w:r>
            </w:hyperlink>
          </w:p>
        </w:tc>
        <w:tc>
          <w:tcPr>
            <w:tcW w:w="840" w:type="dxa"/>
            <w:vAlign w:val="bottom"/>
            <w:gridSpan w:val="2"/>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Notes to Consolidated Financial Statements</w:t>
              </w:r>
            </w:hyperlink>
          </w:p>
        </w:tc>
        <w:tc>
          <w:tcPr>
            <w:tcW w:w="6600" w:type="dxa"/>
            <w:vAlign w:val="bottom"/>
            <w:tcBorders>
              <w:top w:val="single" w:sz="8" w:color="0000FF"/>
            </w:tcBorders>
            <w:gridSpan w:val="6"/>
          </w:tcPr>
          <w:p>
            <w:pPr>
              <w:spacing w:after="0"/>
              <w:rPr>
                <w:sz w:val="18"/>
                <w:szCs w:val="18"/>
                <w:color w:val="auto"/>
              </w:rPr>
            </w:pPr>
          </w:p>
        </w:tc>
        <w:tc>
          <w:tcPr>
            <w:tcW w:w="6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6" w:name="page37"/>
    <w:bookmarkEnd w:id="3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PDL BioPharma,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have audited the accompanying consolidated balance sheet of PDL BioPharma, Inc. and its subsidiaries (the “Company”) as of December 31, 2019, and the related consolidated statements of operations, of comprehensive (loss) income, of stockholders’ equity and of cash flows for each of the two years in the period ended December 31, 2019 and for the period from January 1, 2020 to August 31, 2020, and audited the consolidated statement of net assets in liquidation as of December 31, 2020, and the related consolidated statement of changes in net assets in liquidation for the period from September 1, 2020 to December 31, 2020, including the related notes (collectively referred to as the “consolidated financial statements”). In our opinion, the consolidated financial statements present fairly, in all material respects, the financial position of the Company as of December 31, 2019, the results of its operations and its cash flows for each of the two years in the period ended December 31, 2019 and for the period from January 1, 2020 to August 31, 2020, its net assets in liquidation as of December 31, 2020, and the changes in its net assets in liquidation for the period from September 1, 2020 to December 31, 2020 in conformity with accounting principles generally accepted in the United States of America applied on the bases described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Accounting</w:t>
      </w:r>
    </w:p>
    <w:p>
      <w:pPr>
        <w:spacing w:after="0" w:line="239" w:lineRule="exact"/>
        <w:rPr>
          <w:sz w:val="20"/>
          <w:szCs w:val="20"/>
          <w:color w:val="auto"/>
        </w:rPr>
      </w:pPr>
    </w:p>
    <w:p>
      <w:pPr>
        <w:jc w:val="both"/>
        <w:ind w:right="440"/>
        <w:spacing w:after="0" w:line="248" w:lineRule="auto"/>
        <w:rPr>
          <w:sz w:val="20"/>
          <w:szCs w:val="20"/>
          <w:color w:val="auto"/>
        </w:rPr>
      </w:pPr>
      <w:r>
        <w:rPr>
          <w:rFonts w:ascii="Arial" w:cs="Arial" w:eastAsia="Arial" w:hAnsi="Arial"/>
          <w:sz w:val="18"/>
          <w:szCs w:val="18"/>
          <w:color w:val="auto"/>
        </w:rPr>
        <w:t>As discussed in Notes 2 and 3 to the consolidated financial statements, the stockholders of the Company approved a plan of liquidation on August 19, 2020, and the Company determined liquidation is imminent. As a result, the Company changed its basis of accounting on September 1, 2020 from the going concern basis to a liquidation basis. This matter is also discussed below as a critical audit matter.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Basis of Accounting</w:t>
      </w:r>
    </w:p>
    <w:p>
      <w:pPr>
        <w:spacing w:after="0" w:line="239" w:lineRule="exact"/>
        <w:rPr>
          <w:sz w:val="20"/>
          <w:szCs w:val="20"/>
          <w:color w:val="auto"/>
        </w:rPr>
      </w:pPr>
    </w:p>
    <w:p>
      <w:pPr>
        <w:ind w:right="600"/>
        <w:spacing w:after="0" w:line="243" w:lineRule="auto"/>
        <w:rPr>
          <w:sz w:val="20"/>
          <w:szCs w:val="20"/>
          <w:color w:val="auto"/>
        </w:rPr>
      </w:pPr>
      <w:r>
        <w:rPr>
          <w:rFonts w:ascii="Arial" w:cs="Arial" w:eastAsia="Arial" w:hAnsi="Arial"/>
          <w:sz w:val="18"/>
          <w:szCs w:val="18"/>
          <w:color w:val="auto"/>
        </w:rPr>
        <w:t>As described above and in Notes 2 and 3 to the consolidated financial statements, as a result of the August 19, 2020 approval by the Company’s stockholders to file for dissolution pursuant to a plan of dissolution, it was determined that liquidation was imminent and the Company’s basis of accounting transitioned from the going concern basis of accounting to the liquidation basis of accounting on September 1, 2020, in accordance with generally accepted accounting principles. Under the liquidation basis,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ind w:right="60"/>
        <w:spacing w:after="0" w:line="270" w:lineRule="auto"/>
        <w:rPr>
          <w:sz w:val="20"/>
          <w:szCs w:val="20"/>
          <w:color w:val="auto"/>
        </w:rPr>
      </w:pPr>
      <w:r>
        <w:rPr>
          <w:rFonts w:ascii="Arial" w:cs="Arial" w:eastAsia="Arial" w:hAnsi="Arial"/>
          <w:sz w:val="16"/>
          <w:szCs w:val="16"/>
          <w:color w:val="auto"/>
        </w:rPr>
        <w:t>the remeasurement of the Company's assets and liabilities include management's estimates and assumptions of: (i) income to be generated from the remaining assets until the anticipated date of sale, (ii) sales proceeds to be received for these assets at the time of sale, (iii) operating expenses to be incurred; and, (iv) amounts required to settle liabilities. The estimated liquidation values for assets derived from future revenue streams and asset sales and the settlement of liabilities are reflected on the consolidated statement of net assets in liquidation. Under the liquidation basis, the accounting estimates that require management’s most significant, difficult and subjective judgments include the determination that the liquidation was imminent, the estimated sales proceeds of assets, estimated settlement amounts of liabilities, the estimated revenue and operating expenses that are projected during dissolution, and discount rates. Additional significant estimates under the liquidation basis include the recognition and measurement of amounts recoverable under the Coronavirus Aid, Relief, and Economic Security (“CARES”) Act. The total effect of adoption of the liquidation basis of accounting was a $21,339 thousand increase from consolidated net equity as of August 31, 2020 to net assets in liquidation as of September 1, 2020. The changes in net assets and liabilities in liquidation from September 1, 2020 to December 31, 2020 was a reduction of $59,634 thousand.</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principal considerations for our determination that performing procedures relating to the Company’s adoption of the liquidation basis of accounting is a critical audit matter are the significant judgment by management when determining (i) the point at which liquidation was imminent, and (ii) remeasuring the values of assets and liabilities, which included significant assumptions related to sales proceeds of assets, settlement amounts of liabilities, revenue and operating expenses, discount rates and amounts recoverable under the CARES Act. This in turn led to a high degree of auditor judgment, subjectivity, and effort in performing procedures and evaluating audit evidence related to (i) management’s judgments around applying the liquidation basis to the consolidated financial statements and determining the point at which liquidation was imminent, and (ii) the remeasurement of certain assets and liabilities. Also, the audit effort involved the use of professionals with specialized skill and knowledge.</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among others, (i) testing management’s process for and evaluating management’s judgments around applying the adoption of the liquidation basis of accounting and the point at which liquidation was imminent; (ii) testing management’s process for developing the estimates and assumptions used in the remeasurement of certain assets and liabilities as of September 1, 2020 and December 31, 2020; (iii) testing the completeness and accuracy of the data used by management in the developing the estimates, and (iv) evaluating the reasonableness of the significant assumptions used by management for certain assets related to (1) the estimated sales proceeds, (2) amounts estimated to be recoverable under the CARES act, (3) the estimated revenue and operating expenses that are projected during dissolution and (4) the discount rates; for certain liabilities related to (1) the amounts estimated to be paid in settlement, (2) the estimated revenue and operating expenses that are projected during dissolution, and (3) the discount rates; and (v) evaluating the adequacy of the Company’s disclosures. The work of management’s specialist was used in performing the procedures to evaluate the reasonableness of enterprise values. Evaluating management’s assumptions related to the estimated revenue and operating expenses that are projected during dissolution, estimated proceeds from sales of certain assets, and the estimated amounts to be paid in settlement of certain liabilities involved evaluating whether the assumptions used by management were reasonable considering (i) the current and past performance of the Company; (ii) the consistency with external industry data; and (iii) whether these assumptions were consistent with evidence obtained in other areas of the audit. Professionals with specialized skill and knowledge were used to assist in evaluating the appropriateness of valuation methods and evaluating the reasonableness of the discount rates and amounts recoverable under the CARES Act.</w:t>
      </w:r>
    </w:p>
    <w:p>
      <w:pPr>
        <w:spacing w:after="0" w:line="334" w:lineRule="exact"/>
        <w:rPr>
          <w:sz w:val="20"/>
          <w:szCs w:val="20"/>
          <w:color w:val="auto"/>
        </w:rPr>
      </w:pPr>
    </w:p>
    <w:p>
      <w:pPr>
        <w:ind w:left="5220"/>
        <w:spacing w:after="0"/>
        <w:tabs>
          <w:tab w:leader="none" w:pos="55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PricewaterhouseCoopers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PDL BIOPHARMA,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NET ASSETS IN LIQUIDATION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33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2020</w:t>
            </w:r>
          </w:p>
        </w:tc>
      </w:tr>
      <w:tr>
        <w:trPr>
          <w:trHeight w:val="182"/>
        </w:trPr>
        <w:tc>
          <w:tcPr>
            <w:tcW w:w="334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jc w:val="center"/>
              <w:ind w:right="28"/>
              <w:spacing w:after="0"/>
              <w:rPr>
                <w:sz w:val="20"/>
                <w:szCs w:val="20"/>
                <w:color w:val="auto"/>
              </w:rPr>
            </w:pPr>
            <w:r>
              <w:rPr>
                <w:rFonts w:ascii="Arial" w:cs="Arial" w:eastAsia="Arial" w:hAnsi="Arial"/>
                <w:sz w:val="14"/>
                <w:szCs w:val="14"/>
                <w:color w:val="auto"/>
                <w:w w:val="98"/>
              </w:rPr>
              <w:t>(Note 2)</w:t>
            </w:r>
          </w:p>
        </w:tc>
      </w:tr>
      <w:tr>
        <w:trPr>
          <w:trHeight w:val="142"/>
        </w:trPr>
        <w:tc>
          <w:tcPr>
            <w:tcW w:w="33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ind w:right="28"/>
              <w:spacing w:after="0" w:line="142" w:lineRule="exact"/>
              <w:rPr>
                <w:sz w:val="20"/>
                <w:szCs w:val="20"/>
                <w:color w:val="auto"/>
              </w:rPr>
            </w:pPr>
            <w:r>
              <w:rPr>
                <w:rFonts w:ascii="Arial" w:cs="Arial" w:eastAsia="Arial" w:hAnsi="Arial"/>
                <w:sz w:val="14"/>
                <w:szCs w:val="14"/>
                <w:color w:val="auto"/>
                <w:w w:val="96"/>
              </w:rPr>
              <w:t>(Under Liquidation Basis of</w:t>
            </w:r>
          </w:p>
        </w:tc>
      </w:tr>
      <w:tr>
        <w:trPr>
          <w:trHeight w:val="186"/>
        </w:trPr>
        <w:tc>
          <w:tcPr>
            <w:tcW w:w="334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ind w:right="48"/>
              <w:spacing w:after="0"/>
              <w:rPr>
                <w:sz w:val="20"/>
                <w:szCs w:val="20"/>
                <w:color w:val="auto"/>
              </w:rPr>
            </w:pPr>
            <w:r>
              <w:rPr>
                <w:rFonts w:ascii="Arial" w:cs="Arial" w:eastAsia="Arial" w:hAnsi="Arial"/>
                <w:sz w:val="14"/>
                <w:szCs w:val="14"/>
                <w:color w:val="auto"/>
                <w:w w:val="97"/>
              </w:rPr>
              <w:t>Accounting)</w:t>
            </w:r>
          </w:p>
        </w:tc>
      </w:tr>
      <w:tr>
        <w:trPr>
          <w:trHeight w:val="192"/>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2"/>
        </w:trPr>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126,842</w:t>
            </w:r>
          </w:p>
        </w:tc>
      </w:tr>
      <w:tr>
        <w:trPr>
          <w:trHeight w:val="186"/>
        </w:trPr>
        <w:tc>
          <w:tcPr>
            <w:tcW w:w="3340" w:type="dxa"/>
            <w:vAlign w:val="bottom"/>
          </w:tcPr>
          <w:p>
            <w:pPr>
              <w:ind w:left="140"/>
              <w:spacing w:after="0"/>
              <w:rPr>
                <w:sz w:val="20"/>
                <w:szCs w:val="20"/>
                <w:color w:val="auto"/>
              </w:rPr>
            </w:pPr>
            <w:r>
              <w:rPr>
                <w:rFonts w:ascii="Arial" w:cs="Arial" w:eastAsia="Arial" w:hAnsi="Arial"/>
                <w:sz w:val="14"/>
                <w:szCs w:val="14"/>
                <w:color w:val="auto"/>
              </w:rPr>
              <w:t>Receivables from asset sales</w:t>
            </w: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40,574</w:t>
            </w:r>
          </w:p>
        </w:tc>
      </w:tr>
      <w:tr>
        <w:trPr>
          <w:trHeight w:val="192"/>
        </w:trPr>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Royalty assets</w:t>
            </w:r>
          </w:p>
        </w:tc>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220,023</w:t>
            </w:r>
          </w:p>
        </w:tc>
      </w:tr>
      <w:tr>
        <w:trPr>
          <w:trHeight w:val="186"/>
        </w:trPr>
        <w:tc>
          <w:tcPr>
            <w:tcW w:w="3340" w:type="dxa"/>
            <w:vAlign w:val="bottom"/>
          </w:tcPr>
          <w:p>
            <w:pPr>
              <w:ind w:left="140"/>
              <w:spacing w:after="0"/>
              <w:rPr>
                <w:sz w:val="20"/>
                <w:szCs w:val="20"/>
                <w:color w:val="auto"/>
              </w:rPr>
            </w:pPr>
            <w:r>
              <w:rPr>
                <w:rFonts w:ascii="Arial" w:cs="Arial" w:eastAsia="Arial" w:hAnsi="Arial"/>
                <w:sz w:val="14"/>
                <w:szCs w:val="14"/>
                <w:color w:val="auto"/>
              </w:rPr>
              <w:t>Income tax receivable</w:t>
            </w: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91,753</w:t>
            </w:r>
          </w:p>
        </w:tc>
      </w:tr>
      <w:tr>
        <w:trPr>
          <w:trHeight w:val="192"/>
        </w:trPr>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60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5,768</w:t>
            </w:r>
          </w:p>
        </w:tc>
      </w:tr>
      <w:tr>
        <w:trPr>
          <w:trHeight w:val="179"/>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Total assets</w:t>
            </w:r>
          </w:p>
        </w:tc>
        <w:tc>
          <w:tcPr>
            <w:tcW w:w="6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484,960</w:t>
            </w:r>
          </w:p>
        </w:tc>
      </w:tr>
      <w:tr>
        <w:trPr>
          <w:trHeight w:val="199"/>
        </w:trPr>
        <w:tc>
          <w:tcPr>
            <w:tcW w:w="3340" w:type="dxa"/>
            <w:vAlign w:val="bottom"/>
            <w:shd w:val="clear" w:color="auto" w:fill="CCEEFF"/>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188"/>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86"/>
        </w:trPr>
        <w:tc>
          <w:tcPr>
            <w:tcW w:w="33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6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531</w:t>
            </w:r>
          </w:p>
        </w:tc>
      </w:tr>
      <w:tr>
        <w:trPr>
          <w:trHeight w:val="192"/>
        </w:trPr>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Uncertain tax positions</w:t>
            </w:r>
          </w:p>
        </w:tc>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43,742</w:t>
            </w:r>
          </w:p>
        </w:tc>
      </w:tr>
      <w:tr>
        <w:trPr>
          <w:trHeight w:val="186"/>
        </w:trPr>
        <w:tc>
          <w:tcPr>
            <w:tcW w:w="3340" w:type="dxa"/>
            <w:vAlign w:val="bottom"/>
          </w:tcPr>
          <w:p>
            <w:pPr>
              <w:ind w:left="140"/>
              <w:spacing w:after="0"/>
              <w:rPr>
                <w:sz w:val="20"/>
                <w:szCs w:val="20"/>
                <w:color w:val="auto"/>
              </w:rPr>
            </w:pPr>
            <w:r>
              <w:rPr>
                <w:rFonts w:ascii="Arial" w:cs="Arial" w:eastAsia="Arial" w:hAnsi="Arial"/>
                <w:sz w:val="14"/>
                <w:szCs w:val="14"/>
                <w:color w:val="auto"/>
              </w:rPr>
              <w:t>Compensation and benefit costs</w:t>
            </w: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9,337</w:t>
            </w:r>
          </w:p>
        </w:tc>
      </w:tr>
      <w:tr>
        <w:trPr>
          <w:trHeight w:val="192"/>
        </w:trPr>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Lease guarantee</w:t>
            </w:r>
          </w:p>
        </w:tc>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10,700</w:t>
            </w:r>
          </w:p>
        </w:tc>
      </w:tr>
      <w:tr>
        <w:trPr>
          <w:trHeight w:val="186"/>
        </w:trPr>
        <w:tc>
          <w:tcPr>
            <w:tcW w:w="3340" w:type="dxa"/>
            <w:vAlign w:val="bottom"/>
          </w:tcPr>
          <w:p>
            <w:pPr>
              <w:ind w:left="140"/>
              <w:spacing w:after="0"/>
              <w:rPr>
                <w:sz w:val="20"/>
                <w:szCs w:val="20"/>
                <w:color w:val="auto"/>
              </w:rPr>
            </w:pPr>
            <w:r>
              <w:rPr>
                <w:rFonts w:ascii="Arial" w:cs="Arial" w:eastAsia="Arial" w:hAnsi="Arial"/>
                <w:sz w:val="14"/>
                <w:szCs w:val="14"/>
                <w:color w:val="auto"/>
              </w:rPr>
              <w:t>Costs to sell assets</w:t>
            </w: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3,997</w:t>
            </w:r>
          </w:p>
        </w:tc>
      </w:tr>
      <w:tr>
        <w:trPr>
          <w:trHeight w:val="192"/>
        </w:trPr>
        <w:tc>
          <w:tcPr>
            <w:tcW w:w="3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accrued liquidation costs</w:t>
            </w:r>
          </w:p>
        </w:tc>
        <w:tc>
          <w:tcPr>
            <w:tcW w:w="6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27,268</w:t>
            </w:r>
          </w:p>
        </w:tc>
      </w:tr>
      <w:tr>
        <w:trPr>
          <w:trHeight w:val="186"/>
        </w:trPr>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Convertible notes payable</w:t>
            </w:r>
          </w:p>
        </w:tc>
        <w:tc>
          <w:tcPr>
            <w:tcW w:w="60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2,466</w:t>
            </w:r>
          </w:p>
        </w:tc>
      </w:tr>
      <w:tr>
        <w:trPr>
          <w:trHeight w:val="183"/>
        </w:trPr>
        <w:tc>
          <w:tcPr>
            <w:tcW w:w="334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liabilities</w:t>
            </w:r>
          </w:p>
        </w:tc>
        <w:tc>
          <w:tcPr>
            <w:tcW w:w="60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98,041</w:t>
            </w:r>
          </w:p>
        </w:tc>
      </w:tr>
      <w:tr>
        <w:trPr>
          <w:trHeight w:val="199"/>
        </w:trPr>
        <w:tc>
          <w:tcPr>
            <w:tcW w:w="3340" w:type="dxa"/>
            <w:vAlign w:val="bottom"/>
            <w:tcBorders>
              <w:bottom w:val="single" w:sz="8" w:color="CCEEFF"/>
            </w:tcBorders>
          </w:tcPr>
          <w:p>
            <w:pPr>
              <w:spacing w:after="0"/>
              <w:rPr>
                <w:sz w:val="17"/>
                <w:szCs w:val="17"/>
                <w:color w:val="auto"/>
              </w:rPr>
            </w:pPr>
          </w:p>
        </w:tc>
        <w:tc>
          <w:tcPr>
            <w:tcW w:w="60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r>
        <w:trPr>
          <w:trHeight w:val="20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assets in liquidation</w:t>
            </w:r>
          </w:p>
        </w:tc>
        <w:tc>
          <w:tcPr>
            <w:tcW w:w="6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386,919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3340" w:type="dxa"/>
            <w:vAlign w:val="bottom"/>
          </w:tcPr>
          <w:p>
            <w:pPr>
              <w:spacing w:after="0"/>
              <w:rPr>
                <w:sz w:val="24"/>
                <w:szCs w:val="24"/>
                <w:color w:val="auto"/>
              </w:rPr>
            </w:pPr>
          </w:p>
        </w:tc>
        <w:tc>
          <w:tcPr>
            <w:tcW w:w="6140" w:type="dxa"/>
            <w:vAlign w:val="bottom"/>
            <w:gridSpan w:val="2"/>
          </w:tcPr>
          <w:p>
            <w:pPr>
              <w:jc w:val="center"/>
              <w:ind w:right="1488"/>
              <w:spacing w:after="0"/>
              <w:rPr>
                <w:sz w:val="20"/>
                <w:szCs w:val="20"/>
                <w:color w:val="auto"/>
              </w:rPr>
            </w:pPr>
            <w:r>
              <w:rPr>
                <w:rFonts w:ascii="Arial" w:cs="Arial" w:eastAsia="Arial" w:hAnsi="Arial"/>
                <w:sz w:val="18"/>
                <w:szCs w:val="18"/>
                <w:color w:val="auto"/>
                <w:w w:val="87"/>
              </w:rPr>
              <w:t>See accompanying notes.</w:t>
            </w:r>
          </w:p>
        </w:tc>
        <w:tc>
          <w:tcPr>
            <w:tcW w:w="1760" w:type="dxa"/>
            <w:vAlign w:val="bottom"/>
          </w:tcPr>
          <w:p>
            <w:pPr>
              <w:spacing w:after="0"/>
              <w:rPr>
                <w:sz w:val="24"/>
                <w:szCs w:val="24"/>
                <w:color w:val="auto"/>
              </w:rPr>
            </w:pPr>
          </w:p>
        </w:tc>
      </w:tr>
      <w:tr>
        <w:trPr>
          <w:trHeight w:val="810"/>
        </w:trPr>
        <w:tc>
          <w:tcPr>
            <w:tcW w:w="3340" w:type="dxa"/>
            <w:vAlign w:val="bottom"/>
          </w:tcPr>
          <w:p>
            <w:pPr>
              <w:spacing w:after="0"/>
              <w:rPr>
                <w:sz w:val="24"/>
                <w:szCs w:val="24"/>
                <w:color w:val="auto"/>
              </w:rPr>
            </w:pPr>
          </w:p>
        </w:tc>
        <w:tc>
          <w:tcPr>
            <w:tcW w:w="6040" w:type="dxa"/>
            <w:vAlign w:val="bottom"/>
          </w:tcPr>
          <w:p>
            <w:pPr>
              <w:jc w:val="right"/>
              <w:ind w:right="3579"/>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PDL BIOPHARMA,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93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2019</w:t>
            </w:r>
          </w:p>
        </w:tc>
      </w:tr>
      <w:tr>
        <w:trPr>
          <w:trHeight w:val="182"/>
        </w:trPr>
        <w:tc>
          <w:tcPr>
            <w:tcW w:w="9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color w:val="auto"/>
                <w:w w:val="98"/>
              </w:rPr>
              <w:t>(Note 2)</w:t>
            </w:r>
          </w:p>
        </w:tc>
      </w:tr>
      <w:tr>
        <w:trPr>
          <w:trHeight w:val="142"/>
        </w:trPr>
        <w:tc>
          <w:tcPr>
            <w:tcW w:w="9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ind w:right="8"/>
              <w:spacing w:after="0" w:line="142" w:lineRule="exact"/>
              <w:rPr>
                <w:sz w:val="20"/>
                <w:szCs w:val="20"/>
                <w:color w:val="auto"/>
              </w:rPr>
            </w:pPr>
            <w:r>
              <w:rPr>
                <w:rFonts w:ascii="Arial" w:cs="Arial" w:eastAsia="Arial" w:hAnsi="Arial"/>
                <w:sz w:val="14"/>
                <w:szCs w:val="14"/>
                <w:color w:val="auto"/>
                <w:w w:val="92"/>
              </w:rPr>
              <w:t>(Under Going Concern Basis</w:t>
            </w:r>
          </w:p>
        </w:tc>
      </w:tr>
      <w:tr>
        <w:trPr>
          <w:trHeight w:val="186"/>
        </w:trPr>
        <w:tc>
          <w:tcPr>
            <w:tcW w:w="9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color w:val="auto"/>
                <w:w w:val="96"/>
              </w:rPr>
              <w:t>of Accounting)</w:t>
            </w:r>
          </w:p>
        </w:tc>
      </w:tr>
      <w:tr>
        <w:trPr>
          <w:trHeight w:val="192"/>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86"/>
        </w:trPr>
        <w:tc>
          <w:tcPr>
            <w:tcW w:w="93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2"/>
        </w:trPr>
        <w:tc>
          <w:tcPr>
            <w:tcW w:w="9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168,982</w:t>
            </w:r>
          </w:p>
        </w:tc>
      </w:tr>
      <w:tr>
        <w:trPr>
          <w:trHeight w:val="186"/>
        </w:trPr>
        <w:tc>
          <w:tcPr>
            <w:tcW w:w="938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6,559</w:t>
            </w:r>
          </w:p>
        </w:tc>
      </w:tr>
      <w:tr>
        <w:trPr>
          <w:trHeight w:val="192"/>
        </w:trPr>
        <w:tc>
          <w:tcPr>
            <w:tcW w:w="9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Notes receivable</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52,583</w:t>
            </w:r>
          </w:p>
        </w:tc>
      </w:tr>
      <w:tr>
        <w:trPr>
          <w:trHeight w:val="186"/>
        </w:trPr>
        <w:tc>
          <w:tcPr>
            <w:tcW w:w="938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8,061</w:t>
            </w:r>
          </w:p>
        </w:tc>
      </w:tr>
      <w:tr>
        <w:trPr>
          <w:trHeight w:val="192"/>
        </w:trPr>
        <w:tc>
          <w:tcPr>
            <w:tcW w:w="9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Assets held for sale (Note 4)</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70,366</w:t>
            </w:r>
          </w:p>
        </w:tc>
      </w:tr>
      <w:tr>
        <w:trPr>
          <w:trHeight w:val="186"/>
        </w:trPr>
        <w:tc>
          <w:tcPr>
            <w:tcW w:w="93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and other current assets</w:t>
            </w: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7,344</w:t>
            </w:r>
          </w:p>
        </w:tc>
      </w:tr>
      <w:tr>
        <w:trPr>
          <w:trHeight w:val="186"/>
        </w:trPr>
        <w:tc>
          <w:tcPr>
            <w:tcW w:w="93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313,895</w:t>
            </w:r>
          </w:p>
        </w:tc>
      </w:tr>
      <w:tr>
        <w:trPr>
          <w:trHeight w:val="186"/>
        </w:trPr>
        <w:tc>
          <w:tcPr>
            <w:tcW w:w="93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2,560</w:t>
            </w:r>
          </w:p>
        </w:tc>
      </w:tr>
      <w:tr>
        <w:trPr>
          <w:trHeight w:val="192"/>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and other receivables, long-term</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r>
      <w:tr>
        <w:trPr>
          <w:trHeight w:val="186"/>
        </w:trPr>
        <w:tc>
          <w:tcPr>
            <w:tcW w:w="93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13,186</w:t>
            </w:r>
          </w:p>
        </w:tc>
      </w:tr>
      <w:tr>
        <w:trPr>
          <w:trHeight w:val="192"/>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assets held for sale (Note 4)</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377,491</w:t>
            </w:r>
          </w:p>
        </w:tc>
      </w:tr>
      <w:tr>
        <w:trPr>
          <w:trHeight w:val="186"/>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9,247</w:t>
            </w:r>
          </w:p>
        </w:tc>
      </w:tr>
      <w:tr>
        <w:trPr>
          <w:trHeight w:val="211"/>
        </w:trPr>
        <w:tc>
          <w:tcPr>
            <w:tcW w:w="9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717,206</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9"/>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86"/>
        </w:trPr>
        <w:tc>
          <w:tcPr>
            <w:tcW w:w="93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2"/>
        </w:trPr>
        <w:tc>
          <w:tcPr>
            <w:tcW w:w="9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2,675</w:t>
            </w:r>
          </w:p>
        </w:tc>
      </w:tr>
      <w:tr>
        <w:trPr>
          <w:trHeight w:val="186"/>
        </w:trPr>
        <w:tc>
          <w:tcPr>
            <w:tcW w:w="9380" w:type="dxa"/>
            <w:vAlign w:val="bottom"/>
          </w:tcPr>
          <w:p>
            <w:pPr>
              <w:ind w:left="220"/>
              <w:spacing w:after="0"/>
              <w:rPr>
                <w:sz w:val="20"/>
                <w:szCs w:val="20"/>
                <w:color w:val="auto"/>
              </w:rPr>
            </w:pPr>
            <w:r>
              <w:rPr>
                <w:rFonts w:ascii="Arial" w:cs="Arial" w:eastAsia="Arial" w:hAnsi="Arial"/>
                <w:sz w:val="14"/>
                <w:szCs w:val="14"/>
                <w:color w:val="auto"/>
              </w:rPr>
              <w:t>Accrued liabilities</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11,923</w:t>
            </w:r>
          </w:p>
        </w:tc>
      </w:tr>
      <w:tr>
        <w:trPr>
          <w:trHeight w:val="192"/>
        </w:trPr>
        <w:tc>
          <w:tcPr>
            <w:tcW w:w="9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Liabilities held for sale (Note 4)</w:t>
            </w:r>
          </w:p>
        </w:tc>
        <w:tc>
          <w:tcPr>
            <w:tcW w:w="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31,095</w:t>
            </w:r>
          </w:p>
        </w:tc>
      </w:tr>
      <w:tr>
        <w:trPr>
          <w:trHeight w:val="179"/>
        </w:trPr>
        <w:tc>
          <w:tcPr>
            <w:tcW w:w="9380" w:type="dxa"/>
            <w:vAlign w:val="bottom"/>
          </w:tcPr>
          <w:p>
            <w:pPr>
              <w:ind w:left="480"/>
              <w:spacing w:after="0"/>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45,693</w:t>
            </w:r>
          </w:p>
        </w:tc>
      </w:tr>
      <w:tr>
        <w:trPr>
          <w:trHeight w:val="192"/>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 payable</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27,250</w:t>
            </w:r>
          </w:p>
        </w:tc>
      </w:tr>
      <w:tr>
        <w:trPr>
          <w:trHeight w:val="186"/>
        </w:trPr>
        <w:tc>
          <w:tcPr>
            <w:tcW w:w="9380" w:type="dxa"/>
            <w:vAlign w:val="bottom"/>
          </w:tcPr>
          <w:p>
            <w:pPr>
              <w:ind w:left="20"/>
              <w:spacing w:after="0"/>
              <w:rPr>
                <w:sz w:val="20"/>
                <w:szCs w:val="20"/>
                <w:color w:val="auto"/>
              </w:rPr>
            </w:pPr>
            <w:r>
              <w:rPr>
                <w:rFonts w:ascii="Arial" w:cs="Arial" w:eastAsia="Arial" w:hAnsi="Arial"/>
                <w:sz w:val="14"/>
                <w:szCs w:val="14"/>
                <w:color w:val="auto"/>
              </w:rPr>
              <w:t>Liabilities held for sale, long-term (Note 4)</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92"/>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50,865</w:t>
            </w:r>
          </w:p>
        </w:tc>
      </w:tr>
      <w:tr>
        <w:trPr>
          <w:trHeight w:val="179"/>
        </w:trPr>
        <w:tc>
          <w:tcPr>
            <w:tcW w:w="938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liabilities</w:t>
            </w: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123,928</w:t>
            </w:r>
          </w:p>
        </w:tc>
      </w:tr>
      <w:tr>
        <w:trPr>
          <w:trHeight w:val="199"/>
        </w:trPr>
        <w:tc>
          <w:tcPr>
            <w:tcW w:w="9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6"/>
        </w:trPr>
        <w:tc>
          <w:tcPr>
            <w:tcW w:w="9380" w:type="dxa"/>
            <w:vAlign w:val="bottom"/>
          </w:tcPr>
          <w:p>
            <w:pPr>
              <w:ind w:left="20"/>
              <w:spacing w:after="0"/>
              <w:rPr>
                <w:sz w:val="20"/>
                <w:szCs w:val="20"/>
                <w:color w:val="auto"/>
              </w:rPr>
            </w:pPr>
            <w:r>
              <w:rPr>
                <w:rFonts w:ascii="Arial" w:cs="Arial" w:eastAsia="Arial" w:hAnsi="Arial"/>
                <w:sz w:val="14"/>
                <w:szCs w:val="14"/>
                <w:color w:val="auto"/>
              </w:rPr>
              <w:t>Commitments and contingencies (Note 16)</w:t>
            </w: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9"/>
        </w:trPr>
        <w:tc>
          <w:tcPr>
            <w:tcW w:w="9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86"/>
        </w:trPr>
        <w:tc>
          <w:tcPr>
            <w:tcW w:w="93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2"/>
        </w:trPr>
        <w:tc>
          <w:tcPr>
            <w:tcW w:w="9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stock, par value $0.01 per share, 10,000 shares authorized; no shares issued and outstanding</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380" w:type="dxa"/>
            <w:vAlign w:val="bottom"/>
          </w:tcPr>
          <w:p>
            <w:pPr>
              <w:ind w:left="220"/>
              <w:spacing w:after="0"/>
              <w:rPr>
                <w:sz w:val="20"/>
                <w:szCs w:val="20"/>
                <w:color w:val="auto"/>
              </w:rPr>
            </w:pPr>
            <w:r>
              <w:rPr>
                <w:rFonts w:ascii="Arial" w:cs="Arial" w:eastAsia="Arial" w:hAnsi="Arial"/>
                <w:sz w:val="14"/>
                <w:szCs w:val="14"/>
                <w:color w:val="auto"/>
              </w:rPr>
              <w:t>Common stock, par value $0.01 per share, 350,000 shares authorized; 124,303 shares issued and outstanding at December 31, 2019</w:t>
            </w:r>
          </w:p>
        </w:tc>
        <w:tc>
          <w:tcPr>
            <w:tcW w:w="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1,243</w:t>
            </w:r>
          </w:p>
        </w:tc>
      </w:tr>
      <w:tr>
        <w:trPr>
          <w:trHeight w:val="192"/>
        </w:trPr>
        <w:tc>
          <w:tcPr>
            <w:tcW w:w="9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(78,875)</w:t>
            </w:r>
          </w:p>
        </w:tc>
      </w:tr>
      <w:tr>
        <w:trPr>
          <w:trHeight w:val="186"/>
        </w:trPr>
        <w:tc>
          <w:tcPr>
            <w:tcW w:w="93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Retained earnings</w:t>
            </w: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670,832</w:t>
            </w:r>
          </w:p>
        </w:tc>
      </w:tr>
      <w:tr>
        <w:trPr>
          <w:trHeight w:val="186"/>
        </w:trPr>
        <w:tc>
          <w:tcPr>
            <w:tcW w:w="93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PDL’s stockholders’ equity</w:t>
            </w:r>
          </w:p>
        </w:tc>
        <w:tc>
          <w:tcPr>
            <w:tcW w:w="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593,200</w:t>
            </w:r>
          </w:p>
        </w:tc>
      </w:tr>
      <w:tr>
        <w:trPr>
          <w:trHeight w:val="186"/>
        </w:trPr>
        <w:tc>
          <w:tcPr>
            <w:tcW w:w="93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183"/>
        </w:trPr>
        <w:tc>
          <w:tcPr>
            <w:tcW w:w="93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stockholders’ equity</w:t>
            </w:r>
          </w:p>
        </w:tc>
        <w:tc>
          <w:tcPr>
            <w:tcW w:w="8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593,278</w:t>
            </w:r>
          </w:p>
        </w:tc>
      </w:tr>
      <w:tr>
        <w:trPr>
          <w:trHeight w:val="186"/>
        </w:trPr>
        <w:tc>
          <w:tcPr>
            <w:tcW w:w="9380" w:type="dxa"/>
            <w:vAlign w:val="bottom"/>
          </w:tcPr>
          <w:p>
            <w:pPr>
              <w:ind w:left="480"/>
              <w:spacing w:after="0"/>
              <w:rPr>
                <w:sz w:val="20"/>
                <w:szCs w:val="20"/>
                <w:color w:val="auto"/>
              </w:rPr>
            </w:pPr>
            <w:r>
              <w:rPr>
                <w:rFonts w:ascii="Arial" w:cs="Arial" w:eastAsia="Arial" w:hAnsi="Arial"/>
                <w:sz w:val="14"/>
                <w:szCs w:val="14"/>
                <w:b w:val="1"/>
                <w:bCs w:val="1"/>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717,206</w:t>
            </w:r>
          </w:p>
        </w:tc>
      </w:tr>
      <w:tr>
        <w:trPr>
          <w:trHeight w:val="21"/>
        </w:trPr>
        <w:tc>
          <w:tcPr>
            <w:tcW w:w="9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jc w:val="center"/>
        <w:ind w:right="-199"/>
        <w:spacing w:after="0"/>
        <w:rPr>
          <w:sz w:val="20"/>
          <w:szCs w:val="20"/>
          <w:color w:val="auto"/>
        </w:rPr>
      </w:pPr>
      <w:r>
        <w:rPr>
          <w:rFonts w:ascii="Arial" w:cs="Arial" w:eastAsia="Arial" w:hAnsi="Arial"/>
          <w:sz w:val="18"/>
          <w:szCs w:val="18"/>
          <w:b w:val="1"/>
          <w:bCs w:val="1"/>
          <w:color w:val="auto"/>
        </w:rPr>
        <w:t>PDL BIOPHARMA,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 OF CHANGES IN NET ASSETS IN LIQUIDATION</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168"/>
              <w:spacing w:after="0"/>
              <w:rPr>
                <w:sz w:val="20"/>
                <w:szCs w:val="20"/>
                <w:color w:val="auto"/>
              </w:rPr>
            </w:pPr>
            <w:r>
              <w:rPr>
                <w:rFonts w:ascii="Arial" w:cs="Arial" w:eastAsia="Arial" w:hAnsi="Arial"/>
                <w:sz w:val="14"/>
                <w:szCs w:val="14"/>
                <w:color w:val="auto"/>
                <w:w w:val="94"/>
              </w:rPr>
              <w:t>(Note 2)</w:t>
            </w:r>
          </w:p>
        </w:tc>
      </w:tr>
      <w:tr>
        <w:trPr>
          <w:trHeight w:val="147"/>
        </w:trPr>
        <w:tc>
          <w:tcPr>
            <w:tcW w:w="9420" w:type="dxa"/>
            <w:vAlign w:val="bottom"/>
          </w:tcPr>
          <w:p>
            <w:pPr>
              <w:spacing w:after="0"/>
              <w:rPr>
                <w:sz w:val="12"/>
                <w:szCs w:val="12"/>
                <w:color w:val="auto"/>
              </w:rPr>
            </w:pPr>
          </w:p>
        </w:tc>
        <w:tc>
          <w:tcPr>
            <w:tcW w:w="162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5"/>
              </w:rPr>
              <w:t>(Under Liquidation Basis</w:t>
            </w:r>
          </w:p>
        </w:tc>
      </w:tr>
      <w:tr>
        <w:trPr>
          <w:trHeight w:val="186"/>
        </w:trPr>
        <w:tc>
          <w:tcPr>
            <w:tcW w:w="9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of Accounting)</w:t>
            </w:r>
          </w:p>
        </w:tc>
      </w:tr>
      <w:tr>
        <w:trPr>
          <w:trHeight w:val="183"/>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assets in liquidation, at September 1, 2020</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446,553</w:t>
            </w:r>
          </w:p>
        </w:tc>
      </w:tr>
      <w:tr>
        <w:trPr>
          <w:trHeight w:val="199"/>
        </w:trPr>
        <w:tc>
          <w:tcPr>
            <w:tcW w:w="9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9"/>
        </w:trPr>
        <w:tc>
          <w:tcPr>
            <w:tcW w:w="9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 in liquidation:</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9420" w:type="dxa"/>
            <w:vAlign w:val="bottom"/>
          </w:tcPr>
          <w:p>
            <w:pPr>
              <w:ind w:left="240"/>
              <w:spacing w:after="0"/>
              <w:rPr>
                <w:sz w:val="20"/>
                <w:szCs w:val="20"/>
                <w:color w:val="auto"/>
              </w:rPr>
            </w:pPr>
            <w:r>
              <w:rPr>
                <w:rFonts w:ascii="Arial" w:cs="Arial" w:eastAsia="Arial" w:hAnsi="Arial"/>
                <w:sz w:val="14"/>
                <w:szCs w:val="14"/>
                <w:color w:val="auto"/>
              </w:rPr>
              <w:t>Decrease in liquidation value of royalty assets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(12,696)</w:t>
            </w:r>
          </w:p>
        </w:tc>
      </w:tr>
      <w:tr>
        <w:trPr>
          <w:trHeight w:val="192"/>
        </w:trPr>
        <w:tc>
          <w:tcPr>
            <w:tcW w:w="9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Decrease in receivables from asset sales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(8,328)</w:t>
            </w:r>
          </w:p>
        </w:tc>
      </w:tr>
      <w:tr>
        <w:trPr>
          <w:trHeight w:val="186"/>
        </w:trPr>
        <w:tc>
          <w:tcPr>
            <w:tcW w:w="9420" w:type="dxa"/>
            <w:vAlign w:val="bottom"/>
          </w:tcPr>
          <w:p>
            <w:pPr>
              <w:ind w:left="240"/>
              <w:spacing w:after="0"/>
              <w:rPr>
                <w:sz w:val="20"/>
                <w:szCs w:val="20"/>
                <w:color w:val="auto"/>
              </w:rPr>
            </w:pPr>
            <w:r>
              <w:rPr>
                <w:rFonts w:ascii="Arial" w:cs="Arial" w:eastAsia="Arial" w:hAnsi="Arial"/>
                <w:sz w:val="14"/>
                <w:szCs w:val="14"/>
                <w:color w:val="auto"/>
              </w:rPr>
              <w:t>Decrease in liquidation value of notes receivable</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(44,920)</w:t>
            </w:r>
          </w:p>
        </w:tc>
      </w:tr>
      <w:tr>
        <w:trPr>
          <w:trHeight w:val="192"/>
        </w:trPr>
        <w:tc>
          <w:tcPr>
            <w:tcW w:w="9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Decrease in other assets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(70,976)</w:t>
            </w:r>
          </w:p>
        </w:tc>
      </w:tr>
      <w:tr>
        <w:trPr>
          <w:trHeight w:val="186"/>
        </w:trPr>
        <w:tc>
          <w:tcPr>
            <w:tcW w:w="9420" w:type="dxa"/>
            <w:vAlign w:val="bottom"/>
          </w:tcPr>
          <w:p>
            <w:pPr>
              <w:ind w:left="240"/>
              <w:spacing w:after="0"/>
              <w:rPr>
                <w:sz w:val="20"/>
                <w:szCs w:val="20"/>
                <w:color w:val="auto"/>
              </w:rPr>
            </w:pPr>
            <w:r>
              <w:rPr>
                <w:rFonts w:ascii="Arial" w:cs="Arial" w:eastAsia="Arial" w:hAnsi="Arial"/>
                <w:sz w:val="14"/>
                <w:szCs w:val="14"/>
                <w:color w:val="auto"/>
              </w:rPr>
              <w:t>Increase in income tax receivable</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56,081</w:t>
            </w:r>
          </w:p>
        </w:tc>
      </w:tr>
      <w:tr>
        <w:trPr>
          <w:trHeight w:val="192"/>
        </w:trPr>
        <w:tc>
          <w:tcPr>
            <w:tcW w:w="9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Decrease in estimated costs to sell assets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w:t>
            </w:r>
          </w:p>
        </w:tc>
      </w:tr>
      <w:tr>
        <w:trPr>
          <w:trHeight w:val="186"/>
        </w:trPr>
        <w:tc>
          <w:tcPr>
            <w:tcW w:w="9420" w:type="dxa"/>
            <w:vAlign w:val="bottom"/>
          </w:tcPr>
          <w:p>
            <w:pPr>
              <w:ind w:left="240"/>
              <w:spacing w:after="0"/>
              <w:rPr>
                <w:sz w:val="20"/>
                <w:szCs w:val="20"/>
                <w:color w:val="auto"/>
              </w:rPr>
            </w:pPr>
            <w:r>
              <w:rPr>
                <w:rFonts w:ascii="Arial" w:cs="Arial" w:eastAsia="Arial" w:hAnsi="Arial"/>
                <w:sz w:val="14"/>
                <w:szCs w:val="14"/>
                <w:color w:val="auto"/>
              </w:rPr>
              <w:t>Increase in uncertain tax positions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(4,385)</w:t>
            </w:r>
          </w:p>
        </w:tc>
      </w:tr>
      <w:tr>
        <w:trPr>
          <w:trHeight w:val="192"/>
        </w:trPr>
        <w:tc>
          <w:tcPr>
            <w:tcW w:w="9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Increase in accrued liquidation costs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(12,911)</w:t>
            </w:r>
          </w:p>
        </w:tc>
      </w:tr>
      <w:tr>
        <w:trPr>
          <w:trHeight w:val="186"/>
        </w:trPr>
        <w:tc>
          <w:tcPr>
            <w:tcW w:w="9420" w:type="dxa"/>
            <w:vAlign w:val="bottom"/>
          </w:tcPr>
          <w:p>
            <w:pPr>
              <w:ind w:left="240"/>
              <w:spacing w:after="0"/>
              <w:rPr>
                <w:sz w:val="20"/>
                <w:szCs w:val="20"/>
                <w:color w:val="auto"/>
              </w:rPr>
            </w:pPr>
            <w:r>
              <w:rPr>
                <w:rFonts w:ascii="Arial" w:cs="Arial" w:eastAsia="Arial" w:hAnsi="Arial"/>
                <w:sz w:val="14"/>
                <w:szCs w:val="14"/>
                <w:color w:val="auto"/>
              </w:rPr>
              <w:t>Decrease in compensation and benefit costs</w:t>
            </w: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11,882</w:t>
            </w:r>
          </w:p>
        </w:tc>
      </w:tr>
      <w:tr>
        <w:trPr>
          <w:trHeight w:val="192"/>
        </w:trPr>
        <w:tc>
          <w:tcPr>
            <w:tcW w:w="9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Decrease in other liabilities and accounts payable</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22,561</w:t>
            </w:r>
          </w:p>
        </w:tc>
      </w:tr>
      <w:tr>
        <w:trPr>
          <w:trHeight w:val="179"/>
        </w:trPr>
        <w:tc>
          <w:tcPr>
            <w:tcW w:w="9420" w:type="dxa"/>
            <w:vAlign w:val="bottom"/>
          </w:tcPr>
          <w:p>
            <w:pPr>
              <w:ind w:left="460"/>
              <w:spacing w:after="0"/>
              <w:rPr>
                <w:sz w:val="20"/>
                <w:szCs w:val="20"/>
                <w:color w:val="auto"/>
              </w:rPr>
            </w:pPr>
            <w:r>
              <w:rPr>
                <w:rFonts w:ascii="Arial" w:cs="Arial" w:eastAsia="Arial" w:hAnsi="Arial"/>
                <w:sz w:val="14"/>
                <w:szCs w:val="14"/>
                <w:color w:val="auto"/>
              </w:rPr>
              <w:t>Total changes in net assets in liquidation</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(59,634)</w:t>
            </w:r>
          </w:p>
        </w:tc>
      </w:tr>
      <w:tr>
        <w:trPr>
          <w:trHeight w:val="219"/>
        </w:trPr>
        <w:tc>
          <w:tcPr>
            <w:tcW w:w="9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r>
      <w:tr>
        <w:trPr>
          <w:trHeight w:val="183"/>
        </w:trPr>
        <w:tc>
          <w:tcPr>
            <w:tcW w:w="9420" w:type="dxa"/>
            <w:vAlign w:val="bottom"/>
          </w:tcPr>
          <w:p>
            <w:pPr>
              <w:ind w:left="20"/>
              <w:spacing w:after="0"/>
              <w:rPr>
                <w:sz w:val="20"/>
                <w:szCs w:val="20"/>
                <w:color w:val="auto"/>
              </w:rPr>
            </w:pPr>
            <w:r>
              <w:rPr>
                <w:rFonts w:ascii="Arial" w:cs="Arial" w:eastAsia="Arial" w:hAnsi="Arial"/>
                <w:sz w:val="14"/>
                <w:szCs w:val="14"/>
                <w:b w:val="1"/>
                <w:bCs w:val="1"/>
                <w:color w:val="auto"/>
              </w:rPr>
              <w:t>Net assets in liquidation, at December 31, 2020</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386,919</w:t>
            </w:r>
          </w:p>
        </w:tc>
      </w:tr>
      <w:tr>
        <w:trPr>
          <w:trHeight w:val="20"/>
        </w:trPr>
        <w:tc>
          <w:tcPr>
            <w:tcW w:w="9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4" w:right="5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t>PDL BIOPHARMA,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Eight Months Ended</w:t>
            </w:r>
          </w:p>
        </w:tc>
        <w:tc>
          <w:tcPr>
            <w:tcW w:w="380" w:type="dxa"/>
            <w:vAlign w:val="bottom"/>
          </w:tcPr>
          <w:p>
            <w:pPr>
              <w:spacing w:after="0"/>
              <w:rPr>
                <w:sz w:val="14"/>
                <w:szCs w:val="14"/>
                <w:color w:val="auto"/>
              </w:rPr>
            </w:pPr>
          </w:p>
        </w:tc>
        <w:tc>
          <w:tcPr>
            <w:tcW w:w="3040" w:type="dxa"/>
            <w:vAlign w:val="bottom"/>
            <w:gridSpan w:val="4"/>
            <w:vMerge w:val="restart"/>
          </w:tcPr>
          <w:p>
            <w:pPr>
              <w:jc w:val="right"/>
              <w:ind w:right="8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August 31,</w:t>
            </w:r>
          </w:p>
        </w:tc>
        <w:tc>
          <w:tcPr>
            <w:tcW w:w="380" w:type="dxa"/>
            <w:vAlign w:val="bottom"/>
          </w:tcPr>
          <w:p>
            <w:pPr>
              <w:spacing w:after="0"/>
              <w:rPr>
                <w:sz w:val="16"/>
                <w:szCs w:val="16"/>
                <w:color w:val="auto"/>
              </w:rPr>
            </w:pPr>
          </w:p>
        </w:tc>
        <w:tc>
          <w:tcPr>
            <w:tcW w:w="30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20" w:type="dxa"/>
            <w:vAlign w:val="bottom"/>
            <w:gridSpan w:val="6"/>
          </w:tcPr>
          <w:p>
            <w:pPr>
              <w:jc w:val="right"/>
              <w:ind w:right="88"/>
              <w:spacing w:after="0"/>
              <w:rPr>
                <w:sz w:val="20"/>
                <w:szCs w:val="20"/>
                <w:color w:val="auto"/>
              </w:rPr>
            </w:pPr>
            <w:r>
              <w:rPr>
                <w:rFonts w:ascii="Arial" w:cs="Arial" w:eastAsia="Arial" w:hAnsi="Arial"/>
                <w:sz w:val="14"/>
                <w:szCs w:val="14"/>
                <w:color w:val="auto"/>
              </w:rPr>
              <w:t>(Under Going Concern Basis of Accounting)</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 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22,331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15,928</w:t>
            </w: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Lease revenue</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2,139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5,072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5,903</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 revenue</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Royalty rights - change in fair value</w:t>
            </w:r>
          </w:p>
        </w:tc>
        <w:tc>
          <w:tcPr>
            <w:tcW w:w="14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Royalties from Queen et al. patents</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4,536</w:t>
            </w: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Interest revenue</w:t>
            </w:r>
          </w:p>
        </w:tc>
        <w:tc>
          <w:tcPr>
            <w:tcW w:w="14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License and other</w:t>
            </w:r>
          </w:p>
        </w:tc>
        <w:tc>
          <w:tcPr>
            <w:tcW w:w="1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79"/>
        </w:trPr>
        <w:tc>
          <w:tcPr>
            <w:tcW w:w="5980" w:type="dxa"/>
            <w:vAlign w:val="bottom"/>
          </w:tcPr>
          <w:p>
            <w:pPr>
              <w:ind w:left="460"/>
              <w:spacing w:after="0"/>
              <w:rPr>
                <w:sz w:val="20"/>
                <w:szCs w:val="20"/>
                <w:color w:val="auto"/>
              </w:rPr>
            </w:pPr>
            <w:r>
              <w:rPr>
                <w:rFonts w:ascii="Arial" w:cs="Arial" w:eastAsia="Arial" w:hAnsi="Arial"/>
                <w:sz w:val="14"/>
                <w:szCs w:val="14"/>
                <w:color w:val="auto"/>
              </w:rPr>
              <w:t>Total revenues</w:t>
            </w: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15,321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30,706</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32,028</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Cost of product revenue (excluding intangible asset amortization)</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6,626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17,276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13,555</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Arial" w:cs="Arial" w:eastAsia="Arial" w:hAnsi="Arial"/>
                <w:sz w:val="14"/>
                <w:szCs w:val="14"/>
                <w:color w:val="auto"/>
              </w:rPr>
              <w:t>Severance and retention</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24,713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38,334</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33,700</w:t>
            </w: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6,806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6,341</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7,350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w:t>
            </w: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Asset impairment loss</w:t>
            </w:r>
          </w:p>
        </w:tc>
        <w:tc>
          <w:tcPr>
            <w:tcW w:w="14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10,768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8,200</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fair value of anniversary payment and contingent consideration</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79"/>
        </w:trPr>
        <w:tc>
          <w:tcPr>
            <w:tcW w:w="59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69,571</w:t>
            </w:r>
          </w:p>
        </w:tc>
        <w:tc>
          <w:tcPr>
            <w:tcW w:w="12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81,824</w:t>
            </w:r>
          </w:p>
        </w:tc>
        <w:tc>
          <w:tcPr>
            <w:tcW w:w="10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66,218</w:t>
            </w:r>
          </w:p>
        </w:tc>
        <w:tc>
          <w:tcPr>
            <w:tcW w:w="0" w:type="dxa"/>
            <w:vAlign w:val="bottom"/>
          </w:tcPr>
          <w:p>
            <w:pPr>
              <w:spacing w:after="0"/>
              <w:rPr>
                <w:sz w:val="1"/>
                <w:szCs w:val="1"/>
                <w:color w:val="auto"/>
              </w:rPr>
            </w:pPr>
          </w:p>
        </w:tc>
      </w:tr>
      <w:tr>
        <w:trPr>
          <w:trHeight w:val="186"/>
        </w:trPr>
        <w:tc>
          <w:tcPr>
            <w:tcW w:w="5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 from continuing operations</w:t>
            </w:r>
          </w:p>
        </w:tc>
        <w:tc>
          <w:tcPr>
            <w:tcW w:w="1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(54,250)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(51,118)</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(34,190)</w:t>
            </w:r>
          </w:p>
        </w:tc>
        <w:tc>
          <w:tcPr>
            <w:tcW w:w="0" w:type="dxa"/>
            <w:vAlign w:val="bottom"/>
          </w:tcPr>
          <w:p>
            <w:pPr>
              <w:spacing w:after="0"/>
              <w:rPr>
                <w:sz w:val="1"/>
                <w:szCs w:val="1"/>
                <w:color w:val="auto"/>
              </w:rPr>
            </w:pPr>
          </w:p>
        </w:tc>
      </w:tr>
      <w:tr>
        <w:trPr>
          <w:trHeight w:val="168"/>
        </w:trPr>
        <w:tc>
          <w:tcPr>
            <w:tcW w:w="5980" w:type="dxa"/>
            <w:vAlign w:val="bottom"/>
          </w:tcPr>
          <w:p>
            <w:pPr>
              <w:spacing w:after="0"/>
              <w:rPr>
                <w:sz w:val="20"/>
                <w:szCs w:val="20"/>
                <w:color w:val="auto"/>
              </w:rPr>
            </w:pPr>
            <w:r>
              <w:rPr>
                <w:rFonts w:ascii="Arial" w:cs="Arial" w:eastAsia="Arial" w:hAnsi="Arial"/>
                <w:sz w:val="14"/>
                <w:szCs w:val="14"/>
                <w:b w:val="1"/>
                <w:bCs w:val="1"/>
                <w:color w:val="auto"/>
              </w:rPr>
              <w:t>Non-operating expense, net</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and other income, net</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6,065</w:t>
            </w: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(11,404)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(12,157)</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Gain on sale of intangible assets</w:t>
            </w: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(Loss) gain on investments</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(5,576)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Loss on exchange and extinguishment of convertible notes</w:t>
            </w:r>
          </w:p>
        </w:tc>
        <w:tc>
          <w:tcPr>
            <w:tcW w:w="1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(8,430)</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59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non-operating expense, net</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(6,570)</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(10,328)</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(5,328)</w:t>
            </w:r>
          </w:p>
        </w:tc>
        <w:tc>
          <w:tcPr>
            <w:tcW w:w="0" w:type="dxa"/>
            <w:vAlign w:val="bottom"/>
          </w:tcPr>
          <w:p>
            <w:pPr>
              <w:spacing w:after="0"/>
              <w:rPr>
                <w:sz w:val="1"/>
                <w:szCs w:val="1"/>
                <w:color w:val="auto"/>
              </w:rPr>
            </w:pPr>
          </w:p>
        </w:tc>
      </w:tr>
      <w:tr>
        <w:trPr>
          <w:trHeight w:val="186"/>
        </w:trPr>
        <w:tc>
          <w:tcPr>
            <w:tcW w:w="5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before income taxes from continuing operations</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(61,446)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(39,518)</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Income tax benefit from continuing operations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(6,753)</w:t>
            </w:r>
          </w:p>
        </w:tc>
        <w:tc>
          <w:tcPr>
            <w:tcW w:w="0" w:type="dxa"/>
            <w:vAlign w:val="bottom"/>
          </w:tcPr>
          <w:p>
            <w:pPr>
              <w:spacing w:after="0"/>
              <w:rPr>
                <w:sz w:val="1"/>
                <w:szCs w:val="1"/>
                <w:color w:val="auto"/>
              </w:rPr>
            </w:pPr>
          </w:p>
        </w:tc>
      </w:tr>
      <w:tr>
        <w:trPr>
          <w:trHeight w:val="186"/>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Net loss from continuing operations</w:t>
            </w:r>
          </w:p>
        </w:tc>
        <w:tc>
          <w:tcPr>
            <w:tcW w:w="1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(43,040)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(57,094)</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(32,765)</w:t>
            </w:r>
          </w:p>
        </w:tc>
        <w:tc>
          <w:tcPr>
            <w:tcW w:w="0" w:type="dxa"/>
            <w:vAlign w:val="bottom"/>
          </w:tcPr>
          <w:p>
            <w:pPr>
              <w:spacing w:after="0"/>
              <w:rPr>
                <w:sz w:val="1"/>
                <w:szCs w:val="1"/>
                <w:color w:val="auto"/>
              </w:rPr>
            </w:pPr>
          </w:p>
        </w:tc>
      </w:tr>
      <w:tr>
        <w:trPr>
          <w:trHeight w:val="179"/>
        </w:trPr>
        <w:tc>
          <w:tcPr>
            <w:tcW w:w="5980" w:type="dxa"/>
            <w:vAlign w:val="bottom"/>
          </w:tcPr>
          <w:p>
            <w:pPr>
              <w:ind w:left="120"/>
              <w:spacing w:after="0"/>
              <w:rPr>
                <w:sz w:val="20"/>
                <w:szCs w:val="20"/>
                <w:color w:val="auto"/>
              </w:rPr>
            </w:pPr>
            <w:r>
              <w:rPr>
                <w:rFonts w:ascii="Arial" w:cs="Arial" w:eastAsia="Arial" w:hAnsi="Arial"/>
                <w:sz w:val="14"/>
                <w:szCs w:val="14"/>
                <w:color w:val="auto"/>
              </w:rPr>
              <w:t>Loss from discontinued operations before income taxes</w:t>
            </w:r>
          </w:p>
        </w:tc>
        <w:tc>
          <w:tcPr>
            <w:tcW w:w="1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(57,921)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(12,294)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(16,405)</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 (benefit) expense of discontinued operations</w:t>
            </w:r>
          </w:p>
        </w:tc>
        <w:tc>
          <w:tcPr>
            <w:tcW w:w="1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(23,006)</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179"/>
        </w:trPr>
        <w:tc>
          <w:tcPr>
            <w:tcW w:w="5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Loss from discontinued operations</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(34,915)</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(13,597)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(36,094)</w:t>
            </w:r>
          </w:p>
        </w:tc>
        <w:tc>
          <w:tcPr>
            <w:tcW w:w="0" w:type="dxa"/>
            <w:vAlign w:val="bottom"/>
          </w:tcPr>
          <w:p>
            <w:pPr>
              <w:spacing w:after="0"/>
              <w:rPr>
                <w:sz w:val="1"/>
                <w:szCs w:val="1"/>
                <w:color w:val="auto"/>
              </w:rPr>
            </w:pPr>
          </w:p>
        </w:tc>
      </w:tr>
      <w:tr>
        <w:trPr>
          <w:trHeight w:val="186"/>
        </w:trPr>
        <w:tc>
          <w:tcPr>
            <w:tcW w:w="5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(77,955)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(70,691)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(68,859)</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Net loss attributable to noncontrolling interests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 attributable to PDL’s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(77,296)</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(70,411)</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 per share - basic:</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20"/>
                <w:szCs w:val="20"/>
                <w:color w:val="auto"/>
              </w:rPr>
            </w:pPr>
            <w:r>
              <w:rPr>
                <w:rFonts w:ascii="Arial" w:cs="Arial" w:eastAsia="Arial" w:hAnsi="Arial"/>
                <w:sz w:val="14"/>
                <w:szCs w:val="14"/>
                <w:color w:val="auto"/>
              </w:rPr>
              <w:t>Net loss attributable to PDL’s shareholders per basic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Net loss per share - diluted:</w:t>
            </w: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20"/>
                <w:szCs w:val="20"/>
                <w:color w:val="auto"/>
              </w:rPr>
            </w:pPr>
            <w:r>
              <w:rPr>
                <w:rFonts w:ascii="Arial" w:cs="Arial" w:eastAsia="Arial" w:hAnsi="Arial"/>
                <w:sz w:val="14"/>
                <w:szCs w:val="14"/>
                <w:color w:val="auto"/>
              </w:rPr>
              <w:t>Net loss attributable to PDL’s shareholders per diluted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Weighted-average shares outstanding</w:t>
            </w: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980" w:type="dxa"/>
            <w:vAlign w:val="bottom"/>
          </w:tcPr>
          <w:p>
            <w:pPr>
              <w:ind w:left="200"/>
              <w:spacing w:after="0"/>
              <w:rPr>
                <w:sz w:val="20"/>
                <w:szCs w:val="20"/>
                <w:color w:val="auto"/>
              </w:rPr>
            </w:pPr>
            <w:r>
              <w:rPr>
                <w:rFonts w:ascii="Arial" w:cs="Arial" w:eastAsia="Arial" w:hAnsi="Arial"/>
                <w:sz w:val="14"/>
                <w:szCs w:val="14"/>
                <w:color w:val="auto"/>
              </w:rPr>
              <w:t>Basic</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118,001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118,631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145,669</w:t>
            </w:r>
          </w:p>
        </w:tc>
        <w:tc>
          <w:tcPr>
            <w:tcW w:w="0" w:type="dxa"/>
            <w:vAlign w:val="bottom"/>
          </w:tcPr>
          <w:p>
            <w:pPr>
              <w:spacing w:after="0"/>
              <w:rPr>
                <w:sz w:val="1"/>
                <w:szCs w:val="1"/>
                <w:color w:val="auto"/>
              </w:rPr>
            </w:pPr>
          </w:p>
        </w:tc>
      </w:tr>
      <w:tr>
        <w:trPr>
          <w:trHeight w:val="192"/>
        </w:trPr>
        <w:tc>
          <w:tcPr>
            <w:tcW w:w="5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118,001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118,631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145,669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31"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PDL BIOPHARMA,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Eight Months Ended</w:t>
            </w:r>
          </w:p>
        </w:tc>
        <w:tc>
          <w:tcPr>
            <w:tcW w:w="340" w:type="dxa"/>
            <w:vAlign w:val="bottom"/>
          </w:tcPr>
          <w:p>
            <w:pPr>
              <w:spacing w:after="0"/>
              <w:rPr>
                <w:sz w:val="14"/>
                <w:szCs w:val="14"/>
                <w:color w:val="auto"/>
              </w:rPr>
            </w:pPr>
          </w:p>
        </w:tc>
        <w:tc>
          <w:tcPr>
            <w:tcW w:w="2620" w:type="dxa"/>
            <w:vAlign w:val="bottom"/>
            <w:gridSpan w:val="4"/>
            <w:vMerge w:val="restart"/>
          </w:tcPr>
          <w:p>
            <w:pPr>
              <w:jc w:val="right"/>
              <w:ind w:right="6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c>
          <w:tcPr>
            <w:tcW w:w="340" w:type="dxa"/>
            <w:vAlign w:val="bottom"/>
          </w:tcPr>
          <w:p>
            <w:pPr>
              <w:spacing w:after="0"/>
              <w:rPr>
                <w:sz w:val="16"/>
                <w:szCs w:val="16"/>
                <w:color w:val="auto"/>
              </w:rPr>
            </w:pPr>
          </w:p>
        </w:tc>
        <w:tc>
          <w:tcPr>
            <w:tcW w:w="26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40" w:type="dxa"/>
            <w:vAlign w:val="bottom"/>
            <w:gridSpan w:val="6"/>
          </w:tcPr>
          <w:p>
            <w:pPr>
              <w:jc w:val="right"/>
              <w:spacing w:after="0"/>
              <w:rPr>
                <w:sz w:val="20"/>
                <w:szCs w:val="20"/>
                <w:color w:val="auto"/>
              </w:rPr>
            </w:pPr>
            <w:r>
              <w:rPr>
                <w:rFonts w:ascii="Arial" w:cs="Arial" w:eastAsia="Arial" w:hAnsi="Arial"/>
                <w:sz w:val="14"/>
                <w:szCs w:val="14"/>
                <w:color w:val="auto"/>
              </w:rPr>
              <w:t>(Under Going Concern Basis of Accounting)</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(77,955)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(70,691)</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(68,859)</w:t>
            </w:r>
          </w:p>
        </w:tc>
        <w:tc>
          <w:tcPr>
            <w:tcW w:w="0" w:type="dxa"/>
            <w:vAlign w:val="bottom"/>
          </w:tcPr>
          <w:p>
            <w:pPr>
              <w:spacing w:after="0"/>
              <w:rPr>
                <w:sz w:val="1"/>
                <w:szCs w:val="1"/>
                <w:color w:val="auto"/>
              </w:rPr>
            </w:pPr>
          </w:p>
        </w:tc>
      </w:tr>
      <w:tr>
        <w:trPr>
          <w:trHeight w:val="251"/>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comprehensive loss, net of tax</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120"/>
              <w:spacing w:after="0"/>
              <w:rPr>
                <w:sz w:val="20"/>
                <w:szCs w:val="20"/>
                <w:color w:val="auto"/>
              </w:rPr>
            </w:pPr>
            <w:r>
              <w:rPr>
                <w:rFonts w:ascii="Arial" w:cs="Arial" w:eastAsia="Arial" w:hAnsi="Arial"/>
                <w:sz w:val="14"/>
                <w:szCs w:val="14"/>
                <w:color w:val="auto"/>
              </w:rPr>
              <w:t>Change in unrealized losses on investments in available-for-sale securities: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investments in available-for-sale securities, net of tax</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6"/>
        </w:trPr>
        <w:tc>
          <w:tcPr>
            <w:tcW w:w="6700" w:type="dxa"/>
            <w:vAlign w:val="bottom"/>
          </w:tcPr>
          <w:p>
            <w:pPr>
              <w:ind w:left="340"/>
              <w:spacing w:after="0"/>
              <w:rPr>
                <w:sz w:val="20"/>
                <w:szCs w:val="20"/>
                <w:color w:val="auto"/>
              </w:rPr>
            </w:pPr>
            <w:r>
              <w:rPr>
                <w:rFonts w:ascii="Arial" w:cs="Arial" w:eastAsia="Arial" w:hAnsi="Arial"/>
                <w:sz w:val="14"/>
                <w:szCs w:val="14"/>
                <w:color w:val="auto"/>
              </w:rPr>
              <w:t>Adjustment for net (gains) losses realized and included in net loss, net of tax</w:t>
            </w:r>
          </w:p>
        </w:tc>
        <w:tc>
          <w:tcPr>
            <w:tcW w:w="2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86"/>
        </w:trPr>
        <w:tc>
          <w:tcPr>
            <w:tcW w:w="6700" w:type="dxa"/>
            <w:vAlign w:val="bottom"/>
            <w:tcBorders>
              <w:top w:val="single" w:sz="8" w:color="CCEEFF"/>
            </w:tcBorders>
            <w:shd w:val="clear" w:color="auto" w:fill="CCEEFF"/>
          </w:tcPr>
          <w:p>
            <w:pPr>
              <w:ind w:left="540"/>
              <w:spacing w:after="0" w:line="186" w:lineRule="exact"/>
              <w:rPr>
                <w:sz w:val="20"/>
                <w:szCs w:val="20"/>
                <w:color w:val="auto"/>
              </w:rPr>
            </w:pPr>
            <w:r>
              <w:rPr>
                <w:rFonts w:ascii="Arial" w:cs="Arial" w:eastAsia="Arial" w:hAnsi="Arial"/>
                <w:sz w:val="14"/>
                <w:szCs w:val="14"/>
                <w:color w:val="auto"/>
              </w:rPr>
              <w:t>Total change in unrealized losses on investments in available-for-sale securities, net of tax</w:t>
            </w:r>
            <w:r>
              <w:rPr>
                <w:rFonts w:ascii="Arial" w:cs="Arial" w:eastAsia="Arial" w:hAnsi="Arial"/>
                <w:sz w:val="18"/>
                <w:szCs w:val="18"/>
                <w:color w:val="auto"/>
                <w:vertAlign w:val="superscript"/>
              </w:rPr>
              <w:t>(a)</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179"/>
        </w:trPr>
        <w:tc>
          <w:tcPr>
            <w:tcW w:w="6700" w:type="dxa"/>
            <w:vAlign w:val="bottom"/>
          </w:tcPr>
          <w:p>
            <w:pPr>
              <w:spacing w:after="0"/>
              <w:rPr>
                <w:sz w:val="20"/>
                <w:szCs w:val="20"/>
                <w:color w:val="auto"/>
              </w:rPr>
            </w:pPr>
            <w:r>
              <w:rPr>
                <w:rFonts w:ascii="Arial" w:cs="Arial" w:eastAsia="Arial" w:hAnsi="Arial"/>
                <w:sz w:val="14"/>
                <w:szCs w:val="14"/>
                <w:b w:val="1"/>
                <w:bCs w:val="1"/>
                <w:color w:val="auto"/>
              </w:rPr>
              <w:t>Comprehensive loss</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(77,955)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(70,691)</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(70,040)</w:t>
            </w: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Comprehensive loss attributable to noncontrolling interests</w:t>
            </w: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spacing w:after="0"/>
              <w:rPr>
                <w:sz w:val="20"/>
                <w:szCs w:val="20"/>
                <w:color w:val="auto"/>
              </w:rPr>
            </w:pPr>
            <w:r>
              <w:rPr>
                <w:rFonts w:ascii="Arial" w:cs="Arial" w:eastAsia="Arial" w:hAnsi="Arial"/>
                <w:sz w:val="14"/>
                <w:szCs w:val="14"/>
                <w:b w:val="1"/>
                <w:bCs w:val="1"/>
                <w:color w:val="auto"/>
              </w:rPr>
              <w:t>Comprehensive loss attributable to PDL’s stockholders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(77,296)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(70,411)</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(70,040)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52"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Net of tax of ($314) for the year ended December 31, 2018.</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PDL BIOPHARMA,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364"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PDL’s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23495</wp:posOffset>
            </wp:positionV>
            <wp:extent cx="35915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92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3"/>
              </w:rPr>
              <w:t>Treasury</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4"/>
                <w:szCs w:val="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4"/>
                <w:szCs w:val="4"/>
                <w:color w:val="auto"/>
              </w:rPr>
            </w:pPr>
          </w:p>
        </w:tc>
        <w:tc>
          <w:tcPr>
            <w:tcW w:w="11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4"/>
                <w:szCs w:val="4"/>
                <w:color w:val="auto"/>
              </w:rPr>
            </w:pPr>
          </w:p>
        </w:tc>
        <w:tc>
          <w:tcPr>
            <w:tcW w:w="920" w:type="dxa"/>
            <w:vAlign w:val="bottom"/>
            <w:vMerge w:val="restart"/>
          </w:tcPr>
          <w:p>
            <w:pPr>
              <w:jc w:val="center"/>
              <w:ind w:right="49"/>
              <w:spacing w:after="0" w:line="122"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20" w:type="dxa"/>
            <w:vAlign w:val="bottom"/>
          </w:tcPr>
          <w:p>
            <w:pPr>
              <w:spacing w:after="0"/>
              <w:rPr>
                <w:sz w:val="10"/>
                <w:szCs w:val="10"/>
                <w:color w:val="auto"/>
              </w:rPr>
            </w:pPr>
          </w:p>
        </w:tc>
        <w:tc>
          <w:tcPr>
            <w:tcW w:w="920" w:type="dxa"/>
            <w:vAlign w:val="bottom"/>
          </w:tcPr>
          <w:p>
            <w:pPr>
              <w:jc w:val="center"/>
              <w:ind w:right="69"/>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40" w:type="dxa"/>
            <w:vAlign w:val="bottom"/>
            <w:gridSpan w:val="10"/>
          </w:tcPr>
          <w:p>
            <w:pPr>
              <w:ind w:left="100"/>
              <w:spacing w:after="0"/>
              <w:rPr>
                <w:sz w:val="20"/>
                <w:szCs w:val="20"/>
                <w:color w:val="auto"/>
              </w:rPr>
            </w:pPr>
            <w:r>
              <w:rPr>
                <w:rFonts w:ascii="Arial" w:cs="Arial" w:eastAsia="Arial" w:hAnsi="Arial"/>
                <w:sz w:val="13"/>
                <w:szCs w:val="13"/>
                <w:color w:val="auto"/>
              </w:rPr>
              <w:t>(Under Going Concern Basis of Accounting)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153,774,756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945,614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845,890</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Issuance of common stock, net of forfeitures</w:t>
            </w:r>
          </w:p>
        </w:tc>
        <w:tc>
          <w:tcPr>
            <w:tcW w:w="1040" w:type="dxa"/>
            <w:vAlign w:val="bottom"/>
          </w:tcPr>
          <w:p>
            <w:pPr>
              <w:jc w:val="right"/>
              <w:spacing w:after="0"/>
              <w:rPr>
                <w:sz w:val="20"/>
                <w:szCs w:val="20"/>
                <w:color w:val="auto"/>
              </w:rPr>
            </w:pPr>
            <w:r>
              <w:rPr>
                <w:rFonts w:ascii="Arial" w:cs="Arial" w:eastAsia="Arial" w:hAnsi="Arial"/>
                <w:sz w:val="14"/>
                <w:szCs w:val="14"/>
                <w:color w:val="auto"/>
              </w:rPr>
              <w:t>(601,668)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4,407</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Repurchase and retirement of common stock</w:t>
            </w:r>
          </w:p>
        </w:tc>
        <w:tc>
          <w:tcPr>
            <w:tcW w:w="1040" w:type="dxa"/>
            <w:vAlign w:val="bottom"/>
          </w:tcPr>
          <w:p>
            <w:pPr>
              <w:jc w:val="right"/>
              <w:spacing w:after="0"/>
              <w:rPr>
                <w:sz w:val="20"/>
                <w:szCs w:val="20"/>
                <w:color w:val="auto"/>
              </w:rPr>
            </w:pPr>
            <w:r>
              <w:rPr>
                <w:rFonts w:ascii="Arial" w:cs="Arial" w:eastAsia="Arial" w:hAnsi="Arial"/>
                <w:sz w:val="14"/>
                <w:szCs w:val="14"/>
                <w:color w:val="auto"/>
              </w:rPr>
              <w:t>(16,660,566)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(48,266)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(50,536)</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(68,859)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(68,859)</w:t>
            </w: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5"/>
              </w:rPr>
              <w:t>Change in unrealized gains and losses on investments</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 available-for-sale securities, net of tax</w:t>
            </w:r>
          </w:p>
        </w:tc>
        <w:tc>
          <w:tcPr>
            <w:tcW w:w="11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460" w:type="dxa"/>
            <w:vAlign w:val="bottom"/>
          </w:tcPr>
          <w:p>
            <w:pPr>
              <w:ind w:left="220"/>
              <w:spacing w:after="0"/>
              <w:rPr>
                <w:sz w:val="20"/>
                <w:szCs w:val="20"/>
                <w:color w:val="auto"/>
              </w:rPr>
            </w:pPr>
            <w:r>
              <w:rPr>
                <w:rFonts w:ascii="Arial" w:cs="Arial" w:eastAsia="Arial" w:hAnsi="Arial"/>
                <w:sz w:val="14"/>
                <w:szCs w:val="14"/>
                <w:color w:val="auto"/>
              </w:rPr>
              <w:t>Total comprehensive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(70,040)</w:t>
            </w:r>
          </w:p>
        </w:tc>
        <w:tc>
          <w:tcPr>
            <w:tcW w:w="0" w:type="dxa"/>
            <w:vAlign w:val="bottom"/>
          </w:tcPr>
          <w:p>
            <w:pPr>
              <w:spacing w:after="0"/>
              <w:rPr>
                <w:sz w:val="1"/>
                <w:szCs w:val="1"/>
                <w:color w:val="auto"/>
              </w:rPr>
            </w:pPr>
          </w:p>
        </w:tc>
      </w:tr>
      <w:tr>
        <w:trPr>
          <w:trHeight w:val="18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136,512,522</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(98,030)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828,547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729,779</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Issuance of common stock, net of forfeitures</w:t>
            </w:r>
          </w:p>
        </w:tc>
        <w:tc>
          <w:tcPr>
            <w:tcW w:w="1040" w:type="dxa"/>
            <w:vAlign w:val="bottom"/>
          </w:tcPr>
          <w:p>
            <w:pPr>
              <w:jc w:val="right"/>
              <w:spacing w:after="0"/>
              <w:rPr>
                <w:sz w:val="20"/>
                <w:szCs w:val="20"/>
                <w:color w:val="auto"/>
              </w:rPr>
            </w:pPr>
            <w:r>
              <w:rPr>
                <w:rFonts w:ascii="Arial" w:cs="Arial" w:eastAsia="Arial" w:hAnsi="Arial"/>
                <w:sz w:val="14"/>
                <w:szCs w:val="14"/>
                <w:color w:val="auto"/>
              </w:rPr>
              <w:t>729,191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6,907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6,907</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Repurchase and retirement of common stock</w:t>
            </w:r>
          </w:p>
        </w:tc>
        <w:tc>
          <w:tcPr>
            <w:tcW w:w="1040" w:type="dxa"/>
            <w:vAlign w:val="bottom"/>
          </w:tcPr>
          <w:p>
            <w:pPr>
              <w:jc w:val="right"/>
              <w:spacing w:after="0"/>
              <w:rPr>
                <w:sz w:val="20"/>
                <w:szCs w:val="20"/>
                <w:color w:val="auto"/>
              </w:rPr>
            </w:pPr>
            <w:r>
              <w:rPr>
                <w:rFonts w:ascii="Arial" w:cs="Arial" w:eastAsia="Arial" w:hAnsi="Arial"/>
                <w:sz w:val="14"/>
                <w:szCs w:val="14"/>
                <w:color w:val="auto"/>
              </w:rPr>
              <w:t>(26,321,293)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(85,472)</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of subsidiary shares to non-controlling interest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Exchange of convertible notes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(36,963)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(36,963)</w:t>
            </w:r>
          </w:p>
        </w:tc>
        <w:tc>
          <w:tcPr>
            <w:tcW w:w="0" w:type="dxa"/>
            <w:vAlign w:val="bottom"/>
          </w:tcPr>
          <w:p>
            <w:pPr>
              <w:spacing w:after="0"/>
              <w:rPr>
                <w:sz w:val="1"/>
                <w:szCs w:val="1"/>
                <w:color w:val="auto"/>
              </w:rPr>
            </w:pPr>
          </w:p>
        </w:tc>
      </w:tr>
      <w:tr>
        <w:trPr>
          <w:trHeight w:val="138"/>
        </w:trPr>
        <w:tc>
          <w:tcPr>
            <w:tcW w:w="3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Issuance of common stock in connection with repurchase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13,382,196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45,767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45,901</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convertible notes</w:t>
            </w: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Capped call transactions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loss</w:t>
            </w:r>
          </w:p>
        </w:tc>
        <w:tc>
          <w:tcPr>
            <w:tcW w:w="11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(70,411)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(70,691)</w:t>
            </w:r>
          </w:p>
        </w:tc>
        <w:tc>
          <w:tcPr>
            <w:tcW w:w="0" w:type="dxa"/>
            <w:vAlign w:val="bottom"/>
          </w:tcPr>
          <w:p>
            <w:pPr>
              <w:spacing w:after="0"/>
              <w:rPr>
                <w:sz w:val="1"/>
                <w:szCs w:val="1"/>
                <w:color w:val="auto"/>
              </w:rPr>
            </w:pPr>
          </w:p>
        </w:tc>
      </w:tr>
      <w:tr>
        <w:trPr>
          <w:trHeight w:val="186"/>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comprehensive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(70,691)</w:t>
            </w:r>
          </w:p>
        </w:tc>
        <w:tc>
          <w:tcPr>
            <w:tcW w:w="0" w:type="dxa"/>
            <w:vAlign w:val="bottom"/>
          </w:tcPr>
          <w:p>
            <w:pPr>
              <w:spacing w:after="0"/>
              <w:rPr>
                <w:sz w:val="1"/>
                <w:szCs w:val="1"/>
                <w:color w:val="auto"/>
              </w:rPr>
            </w:pPr>
          </w:p>
        </w:tc>
      </w:tr>
      <w:tr>
        <w:trPr>
          <w:trHeight w:val="179"/>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124,302,616</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(78,875)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670,832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593,278</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net of forfeitures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2,131,730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15,527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15,527</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(12,322,988)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(39,369)</w:t>
            </w:r>
          </w:p>
        </w:tc>
        <w:tc>
          <w:tcPr>
            <w:tcW w:w="0" w:type="dxa"/>
            <w:vAlign w:val="bottom"/>
          </w:tcPr>
          <w:p>
            <w:pPr>
              <w:spacing w:after="0"/>
              <w:rPr>
                <w:sz w:val="1"/>
                <w:szCs w:val="1"/>
                <w:color w:val="auto"/>
              </w:rPr>
            </w:pPr>
          </w:p>
        </w:tc>
      </w:tr>
      <w:tr>
        <w:trPr>
          <w:trHeight w:val="135"/>
        </w:trPr>
        <w:tc>
          <w:tcPr>
            <w:tcW w:w="3460" w:type="dxa"/>
            <w:vAlign w:val="bottom"/>
          </w:tcPr>
          <w:p>
            <w:pPr>
              <w:ind w:left="20"/>
              <w:spacing w:after="0" w:line="135" w:lineRule="exact"/>
              <w:rPr>
                <w:sz w:val="20"/>
                <w:szCs w:val="20"/>
                <w:color w:val="auto"/>
              </w:rPr>
            </w:pPr>
            <w:r>
              <w:rPr>
                <w:rFonts w:ascii="Arial" w:cs="Arial" w:eastAsia="Arial" w:hAnsi="Arial"/>
                <w:sz w:val="14"/>
                <w:szCs w:val="14"/>
                <w:color w:val="auto"/>
              </w:rPr>
              <w:t>Noncash liquidating distribution (0.11591985 shares of</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ind w:left="20"/>
              <w:spacing w:after="0" w:line="135" w:lineRule="exact"/>
              <w:rPr>
                <w:sz w:val="20"/>
                <w:szCs w:val="20"/>
                <w:color w:val="auto"/>
              </w:rPr>
            </w:pPr>
            <w:r>
              <w:rPr>
                <w:rFonts w:ascii="Arial" w:cs="Arial" w:eastAsia="Arial" w:hAnsi="Arial"/>
                <w:sz w:val="14"/>
                <w:szCs w:val="14"/>
                <w:color w:val="auto"/>
                <w:w w:val="99"/>
              </w:rPr>
              <w:t>Evofem Biosciences, Inc. common stock distributed per</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(64,400)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(64,400)</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share of the Company’s common stock )</w:t>
            </w: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of subsidiary shares to non-controlling interest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Extinguishment of convertible notes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(3,911)</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Capped call transactions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86"/>
        </w:trPr>
        <w:tc>
          <w:tcPr>
            <w:tcW w:w="346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(77,955)</w:t>
            </w:r>
          </w:p>
        </w:tc>
        <w:tc>
          <w:tcPr>
            <w:tcW w:w="0" w:type="dxa"/>
            <w:vAlign w:val="bottom"/>
          </w:tcPr>
          <w:p>
            <w:pPr>
              <w:spacing w:after="0"/>
              <w:rPr>
                <w:sz w:val="1"/>
                <w:szCs w:val="1"/>
                <w:color w:val="auto"/>
              </w:rPr>
            </w:pPr>
          </w:p>
        </w:tc>
      </w:tr>
      <w:tr>
        <w:trPr>
          <w:trHeight w:val="179"/>
        </w:trPr>
        <w:tc>
          <w:tcPr>
            <w:tcW w:w="3460" w:type="dxa"/>
            <w:vAlign w:val="bottom"/>
          </w:tcPr>
          <w:p>
            <w:pPr>
              <w:ind w:left="220"/>
              <w:spacing w:after="0"/>
              <w:rPr>
                <w:sz w:val="20"/>
                <w:szCs w:val="20"/>
                <w:color w:val="auto"/>
              </w:rPr>
            </w:pPr>
            <w:r>
              <w:rPr>
                <w:rFonts w:ascii="Arial" w:cs="Arial" w:eastAsia="Arial" w:hAnsi="Arial"/>
                <w:sz w:val="14"/>
                <w:szCs w:val="14"/>
                <w:color w:val="auto"/>
              </w:rPr>
              <w:t>Total comprehensive loss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(77,955)</w:t>
            </w:r>
          </w:p>
        </w:tc>
        <w:tc>
          <w:tcPr>
            <w:tcW w:w="0" w:type="dxa"/>
            <w:vAlign w:val="bottom"/>
          </w:tcPr>
          <w:p>
            <w:pPr>
              <w:spacing w:after="0"/>
              <w:rPr>
                <w:sz w:val="1"/>
                <w:szCs w:val="1"/>
                <w:color w:val="auto"/>
              </w:rPr>
            </w:pPr>
          </w:p>
        </w:tc>
      </w:tr>
      <w:tr>
        <w:trPr>
          <w:trHeight w:val="20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August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114,111,358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(65,337)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489,891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425,214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31"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PDL BIOPHARMA,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Eight Months Ended</w:t>
            </w:r>
          </w:p>
        </w:tc>
        <w:tc>
          <w:tcPr>
            <w:tcW w:w="340" w:type="dxa"/>
            <w:vAlign w:val="bottom"/>
          </w:tcPr>
          <w:p>
            <w:pPr>
              <w:spacing w:after="0"/>
              <w:rPr>
                <w:sz w:val="13"/>
                <w:szCs w:val="13"/>
                <w:color w:val="auto"/>
              </w:rPr>
            </w:pPr>
          </w:p>
        </w:tc>
        <w:tc>
          <w:tcPr>
            <w:tcW w:w="2580" w:type="dxa"/>
            <w:vAlign w:val="bottom"/>
            <w:gridSpan w:val="4"/>
            <w:vMerge w:val="restart"/>
          </w:tcPr>
          <w:p>
            <w:pPr>
              <w:jc w:val="right"/>
              <w:ind w:right="697"/>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August 31,</w:t>
            </w:r>
          </w:p>
        </w:tc>
        <w:tc>
          <w:tcPr>
            <w:tcW w:w="340" w:type="dxa"/>
            <w:vAlign w:val="bottom"/>
          </w:tcPr>
          <w:p>
            <w:pPr>
              <w:spacing w:after="0"/>
              <w:rPr>
                <w:sz w:val="14"/>
                <w:szCs w:val="14"/>
                <w:color w:val="auto"/>
              </w:rPr>
            </w:pPr>
          </w:p>
        </w:tc>
        <w:tc>
          <w:tcPr>
            <w:tcW w:w="25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7"/>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6"/>
          </w:tcPr>
          <w:p>
            <w:pPr>
              <w:jc w:val="right"/>
              <w:ind w:right="57"/>
              <w:spacing w:after="0"/>
              <w:rPr>
                <w:sz w:val="20"/>
                <w:szCs w:val="20"/>
                <w:color w:val="auto"/>
              </w:rPr>
            </w:pPr>
            <w:r>
              <w:rPr>
                <w:rFonts w:ascii="Arial" w:cs="Arial" w:eastAsia="Arial" w:hAnsi="Arial"/>
                <w:sz w:val="13"/>
                <w:szCs w:val="13"/>
                <w:color w:val="auto"/>
              </w:rPr>
              <w:t>(Under Going Concern Basis of Accounting)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rPr>
                <w:sz w:val="20"/>
                <w:szCs w:val="20"/>
                <w:color w:val="auto"/>
              </w:rPr>
            </w:pPr>
            <w:r>
              <w:rPr>
                <w:rFonts w:ascii="Arial" w:cs="Arial" w:eastAsia="Arial" w:hAnsi="Arial"/>
                <w:sz w:val="13"/>
                <w:szCs w:val="13"/>
                <w:color w:val="auto"/>
              </w:rPr>
              <w:t>Net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(77,955)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(70,691)</w:t>
            </w:r>
          </w:p>
        </w:tc>
        <w:tc>
          <w:tcPr>
            <w:tcW w:w="120" w:type="dxa"/>
            <w:vAlign w:val="bottom"/>
          </w:tcPr>
          <w:p>
            <w:pPr>
              <w:spacing w:after="0"/>
              <w:rPr>
                <w:sz w:val="14"/>
                <w:szCs w:val="14"/>
                <w:color w:val="auto"/>
              </w:rPr>
            </w:pP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(68,859)</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Less: Loss from discontinued operations</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(34,915)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(36,094)</w:t>
            </w:r>
          </w:p>
        </w:tc>
        <w:tc>
          <w:tcPr>
            <w:tcW w:w="0" w:type="dxa"/>
            <w:vAlign w:val="bottom"/>
          </w:tcPr>
          <w:p>
            <w:pPr>
              <w:spacing w:after="0"/>
              <w:rPr>
                <w:sz w:val="1"/>
                <w:szCs w:val="1"/>
                <w:color w:val="auto"/>
              </w:rPr>
            </w:pPr>
          </w:p>
        </w:tc>
      </w:tr>
      <w:tr>
        <w:trPr>
          <w:trHeight w:val="161"/>
        </w:trPr>
        <w:tc>
          <w:tcPr>
            <w:tcW w:w="6740" w:type="dxa"/>
            <w:vAlign w:val="bottom"/>
          </w:tcPr>
          <w:p>
            <w:pPr>
              <w:ind w:left="20"/>
              <w:spacing w:after="0"/>
              <w:rPr>
                <w:sz w:val="20"/>
                <w:szCs w:val="20"/>
                <w:color w:val="auto"/>
              </w:rPr>
            </w:pPr>
            <w:r>
              <w:rPr>
                <w:rFonts w:ascii="Arial" w:cs="Arial" w:eastAsia="Arial" w:hAnsi="Arial"/>
                <w:sz w:val="13"/>
                <w:szCs w:val="13"/>
                <w:color w:val="auto"/>
              </w:rPr>
              <w:t>Net loss from continuing operations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(43,040)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(57,094)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(32,765)</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Amortization of convertible notes conversion options and debt issuance costs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7,237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7,609</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Accreted interest on convertible note principal</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1,290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1,294</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Amortization of right-of-use assets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Asset impairment loss</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10,768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8,200</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Loss on investment</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Change in fair value of royalty rights - at fair value</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Change in fair value of derivative assets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Change in fair value of anniversary payment and contingent consideration</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amortization, depreciation and accretion of embedded derivative</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3,149</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Loss on exchange and extinguishment of convertible notes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8,430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Gain on sale of intangible assets</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(3,476)</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Loss on disposal of property and equipment</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Stock-based compensation expense</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4,337</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Deferred income taxes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(18,723)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(11,303)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11,597</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Changes in assets and liabilities: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3,344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Prepaid and other current assets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Inventory</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(8,062)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(4,744)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(889)</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(5,380)</w:t>
            </w:r>
          </w:p>
        </w:tc>
        <w:tc>
          <w:tcPr>
            <w:tcW w:w="0" w:type="dxa"/>
            <w:vAlign w:val="bottom"/>
          </w:tcPr>
          <w:p>
            <w:pPr>
              <w:spacing w:after="0"/>
              <w:rPr>
                <w:sz w:val="1"/>
                <w:szCs w:val="1"/>
                <w:color w:val="auto"/>
              </w:rPr>
            </w:pPr>
          </w:p>
        </w:tc>
      </w:tr>
      <w:tr>
        <w:trPr>
          <w:trHeight w:val="168"/>
        </w:trPr>
        <w:tc>
          <w:tcPr>
            <w:tcW w:w="6740" w:type="dxa"/>
            <w:vAlign w:val="bottom"/>
          </w:tcPr>
          <w:p>
            <w:pPr>
              <w:ind w:left="480"/>
              <w:spacing w:after="0"/>
              <w:rPr>
                <w:sz w:val="20"/>
                <w:szCs w:val="20"/>
                <w:color w:val="auto"/>
              </w:rPr>
            </w:pPr>
            <w:r>
              <w:rPr>
                <w:rFonts w:ascii="Arial" w:cs="Arial" w:eastAsia="Arial" w:hAnsi="Arial"/>
                <w:sz w:val="13"/>
                <w:szCs w:val="13"/>
                <w:color w:val="auto"/>
              </w:rPr>
              <w:t>Accrued income taxes</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long-term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4,967</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6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Net cash used in operating activities - continuing operations</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(60,441)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(27,679)</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(6,410)</w:t>
            </w: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cash provided by (used in) operating activities - discontinued operations</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28,318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(4,765)</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(7,015)</w:t>
            </w:r>
          </w:p>
        </w:tc>
        <w:tc>
          <w:tcPr>
            <w:tcW w:w="0" w:type="dxa"/>
            <w:vAlign w:val="bottom"/>
          </w:tcPr>
          <w:p>
            <w:pPr>
              <w:spacing w:after="0"/>
              <w:rPr>
                <w:sz w:val="1"/>
                <w:szCs w:val="1"/>
                <w:color w:val="auto"/>
              </w:rPr>
            </w:pPr>
          </w:p>
        </w:tc>
      </w:tr>
      <w:tr>
        <w:trPr>
          <w:trHeight w:val="150"/>
        </w:trPr>
        <w:tc>
          <w:tcPr>
            <w:tcW w:w="674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Settlement agreement cash received</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rPr>
                <w:sz w:val="20"/>
                <w:szCs w:val="20"/>
                <w:color w:val="auto"/>
              </w:rPr>
            </w:pPr>
            <w:r>
              <w:rPr>
                <w:rFonts w:ascii="Arial" w:cs="Arial" w:eastAsia="Arial" w:hAnsi="Arial"/>
                <w:sz w:val="13"/>
                <w:szCs w:val="13"/>
                <w:color w:val="auto"/>
              </w:rPr>
              <w:t>Payment of contingent consideration</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sales of available-for-sale securities</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4,116</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rPr>
                <w:sz w:val="20"/>
                <w:szCs w:val="20"/>
                <w:color w:val="auto"/>
              </w:rPr>
            </w:pPr>
            <w:r>
              <w:rPr>
                <w:rFonts w:ascii="Arial" w:cs="Arial" w:eastAsia="Arial" w:hAnsi="Arial"/>
                <w:sz w:val="13"/>
                <w:szCs w:val="13"/>
                <w:color w:val="auto"/>
              </w:rPr>
              <w:t>Proceeds from royalty rights - at fair value</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of intangible assets</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rPr>
                <w:sz w:val="20"/>
                <w:szCs w:val="20"/>
                <w:color w:val="auto"/>
              </w:rPr>
            </w:pPr>
            <w:r>
              <w:rPr>
                <w:rFonts w:ascii="Arial" w:cs="Arial" w:eastAsia="Arial" w:hAnsi="Arial"/>
                <w:sz w:val="13"/>
                <w:szCs w:val="13"/>
                <w:color w:val="auto"/>
              </w:rPr>
              <w:t>Proceeds from the sale of intangible assets</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of property and equipment</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0" w:type="dxa"/>
            <w:vAlign w:val="bottom"/>
          </w:tcPr>
          <w:p>
            <w:pPr>
              <w:spacing w:after="0"/>
              <w:rPr>
                <w:sz w:val="1"/>
                <w:szCs w:val="1"/>
                <w:color w:val="auto"/>
              </w:rPr>
            </w:pPr>
          </w:p>
        </w:tc>
      </w:tr>
      <w:tr>
        <w:trPr>
          <w:trHeight w:val="16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Net cash provided by investing activities - continuing operations</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2,537</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2,507</w:t>
            </w: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cash provided by investing activities - discontinued operations</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38,966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19,273</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54,197</w:t>
            </w:r>
          </w:p>
        </w:tc>
        <w:tc>
          <w:tcPr>
            <w:tcW w:w="0" w:type="dxa"/>
            <w:vAlign w:val="bottom"/>
          </w:tcPr>
          <w:p>
            <w:pPr>
              <w:spacing w:after="0"/>
              <w:rPr>
                <w:sz w:val="1"/>
                <w:szCs w:val="1"/>
                <w:color w:val="auto"/>
              </w:rPr>
            </w:pPr>
          </w:p>
        </w:tc>
      </w:tr>
      <w:tr>
        <w:trPr>
          <w:trHeight w:val="150"/>
        </w:trPr>
        <w:tc>
          <w:tcPr>
            <w:tcW w:w="674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Repurchase of convertible notes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(97,889)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rPr>
                <w:sz w:val="20"/>
                <w:szCs w:val="20"/>
                <w:color w:val="auto"/>
              </w:rPr>
            </w:pPr>
            <w:r>
              <w:rPr>
                <w:rFonts w:ascii="Arial" w:cs="Arial" w:eastAsia="Arial" w:hAnsi="Arial"/>
                <w:sz w:val="13"/>
                <w:szCs w:val="13"/>
                <w:color w:val="auto"/>
              </w:rPr>
              <w:t>Repayment of convertible notes</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(126,447)</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to exchange convertible notes</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rPr>
                <w:sz w:val="20"/>
                <w:szCs w:val="20"/>
                <w:color w:val="auto"/>
              </w:rPr>
            </w:pPr>
            <w:r>
              <w:rPr>
                <w:rFonts w:ascii="Arial" w:cs="Arial" w:eastAsia="Arial" w:hAnsi="Arial"/>
                <w:sz w:val="13"/>
                <w:szCs w:val="13"/>
                <w:color w:val="auto"/>
              </w:rPr>
              <w:t>Capped call transactions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3,025</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 of contingent consideration</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rPr>
                <w:sz w:val="20"/>
                <w:szCs w:val="20"/>
                <w:color w:val="auto"/>
              </w:rPr>
            </w:pPr>
            <w:r>
              <w:rPr>
                <w:rFonts w:ascii="Arial" w:cs="Arial" w:eastAsia="Arial" w:hAnsi="Arial"/>
                <w:sz w:val="13"/>
                <w:szCs w:val="13"/>
                <w:color w:val="auto"/>
              </w:rPr>
              <w:t>Repurchase of Company common stock</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(39,373)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(86,898)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(49,109)</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Cash dividends paid</w:t>
            </w: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8"/>
        </w:trPr>
        <w:tc>
          <w:tcPr>
            <w:tcW w:w="6740" w:type="dxa"/>
            <w:vAlign w:val="bottom"/>
          </w:tcPr>
          <w:p>
            <w:pPr>
              <w:ind w:left="220"/>
              <w:spacing w:after="0"/>
              <w:rPr>
                <w:sz w:val="20"/>
                <w:szCs w:val="20"/>
                <w:color w:val="auto"/>
              </w:rPr>
            </w:pPr>
            <w:r>
              <w:rPr>
                <w:rFonts w:ascii="Arial" w:cs="Arial" w:eastAsia="Arial" w:hAnsi="Arial"/>
                <w:sz w:val="13"/>
                <w:szCs w:val="13"/>
                <w:color w:val="auto"/>
              </w:rPr>
              <w:t>Proceeds from the exercise of stock options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settlement of stock-based compensation awards</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6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Net cash used in financing activities - continuing operations</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(60,418)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(190,436)</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(175,836)</w:t>
            </w: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cash used in financing activities - discontinued operations</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1"/>
        </w:trPr>
        <w:tc>
          <w:tcPr>
            <w:tcW w:w="6740" w:type="dxa"/>
            <w:vAlign w:val="bottom"/>
          </w:tcPr>
          <w:p>
            <w:pPr>
              <w:ind w:left="20"/>
              <w:spacing w:after="0"/>
              <w:rPr>
                <w:sz w:val="20"/>
                <w:szCs w:val="20"/>
                <w:color w:val="auto"/>
              </w:rPr>
            </w:pPr>
            <w:r>
              <w:rPr>
                <w:rFonts w:ascii="Arial" w:cs="Arial" w:eastAsia="Arial" w:hAnsi="Arial"/>
                <w:sz w:val="13"/>
                <w:szCs w:val="13"/>
                <w:color w:val="auto"/>
              </w:rPr>
              <w:t>Net decrease in cash and cash equivalents</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(46,655)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(201,139)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(132,676)</w:t>
            </w:r>
          </w:p>
        </w:tc>
        <w:tc>
          <w:tcPr>
            <w:tcW w:w="0" w:type="dxa"/>
            <w:vAlign w:val="bottom"/>
          </w:tcPr>
          <w:p>
            <w:pPr>
              <w:spacing w:after="0"/>
              <w:rPr>
                <w:sz w:val="1"/>
                <w:szCs w:val="1"/>
                <w:color w:val="auto"/>
              </w:rPr>
            </w:pPr>
          </w:p>
        </w:tc>
      </w:tr>
      <w:tr>
        <w:trPr>
          <w:trHeight w:val="183"/>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193,451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394,590</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527,266</w:t>
            </w:r>
          </w:p>
        </w:tc>
        <w:tc>
          <w:tcPr>
            <w:tcW w:w="0" w:type="dxa"/>
            <w:vAlign w:val="bottom"/>
          </w:tcPr>
          <w:p>
            <w:pPr>
              <w:spacing w:after="0"/>
              <w:rPr>
                <w:sz w:val="1"/>
                <w:szCs w:val="1"/>
                <w:color w:val="auto"/>
              </w:rPr>
            </w:pPr>
          </w:p>
        </w:tc>
      </w:tr>
      <w:tr>
        <w:trPr>
          <w:trHeight w:val="16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146,796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193,451</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394,590</w:t>
            </w:r>
          </w:p>
        </w:tc>
        <w:tc>
          <w:tcPr>
            <w:tcW w:w="0" w:type="dxa"/>
            <w:vAlign w:val="bottom"/>
          </w:tcPr>
          <w:p>
            <w:pPr>
              <w:spacing w:after="0"/>
              <w:rPr>
                <w:sz w:val="1"/>
                <w:szCs w:val="1"/>
                <w:color w:val="auto"/>
              </w:rPr>
            </w:pPr>
          </w:p>
        </w:tc>
      </w:tr>
      <w:tr>
        <w:trPr>
          <w:trHeight w:val="169"/>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Cash and cash equivalents of discontinued operations at end of period</w:t>
            </w: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25,060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24,469</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28,910</w:t>
            </w:r>
          </w:p>
        </w:tc>
        <w:tc>
          <w:tcPr>
            <w:tcW w:w="0" w:type="dxa"/>
            <w:vAlign w:val="bottom"/>
          </w:tcPr>
          <w:p>
            <w:pPr>
              <w:spacing w:after="0"/>
              <w:rPr>
                <w:sz w:val="1"/>
                <w:szCs w:val="1"/>
                <w:color w:val="auto"/>
              </w:rPr>
            </w:pPr>
          </w:p>
        </w:tc>
      </w:tr>
      <w:tr>
        <w:trPr>
          <w:trHeight w:val="175"/>
        </w:trPr>
        <w:tc>
          <w:tcPr>
            <w:tcW w:w="6740" w:type="dxa"/>
            <w:vAlign w:val="bottom"/>
          </w:tcPr>
          <w:p>
            <w:pPr>
              <w:ind w:left="20"/>
              <w:spacing w:after="0"/>
              <w:rPr>
                <w:sz w:val="20"/>
                <w:szCs w:val="20"/>
                <w:color w:val="auto"/>
              </w:rPr>
            </w:pPr>
            <w:r>
              <w:rPr>
                <w:rFonts w:ascii="Arial" w:cs="Arial" w:eastAsia="Arial" w:hAnsi="Arial"/>
                <w:sz w:val="13"/>
                <w:szCs w:val="13"/>
                <w:color w:val="auto"/>
              </w:rPr>
              <w:t>Cash and cash equivalents of continuing operations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121,736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168,982</w:t>
            </w:r>
          </w:p>
        </w:tc>
        <w:tc>
          <w:tcPr>
            <w:tcW w:w="120" w:type="dxa"/>
            <w:vAlign w:val="bottom"/>
          </w:tcPr>
          <w:p>
            <w:pPr>
              <w:spacing w:after="0"/>
              <w:rPr>
                <w:sz w:val="15"/>
                <w:szCs w:val="15"/>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365,680</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160"/>
          </w:cols>
          <w:pgMar w:left="360" w:top="9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31" w:right="37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PDL BIOPHARMA,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Eight Months Ended</w:t>
            </w:r>
          </w:p>
        </w:tc>
        <w:tc>
          <w:tcPr>
            <w:tcW w:w="340" w:type="dxa"/>
            <w:vAlign w:val="bottom"/>
          </w:tcPr>
          <w:p>
            <w:pPr>
              <w:spacing w:after="0"/>
              <w:rPr>
                <w:sz w:val="13"/>
                <w:szCs w:val="13"/>
                <w:color w:val="auto"/>
              </w:rPr>
            </w:pPr>
          </w:p>
        </w:tc>
        <w:tc>
          <w:tcPr>
            <w:tcW w:w="2580" w:type="dxa"/>
            <w:vAlign w:val="bottom"/>
            <w:gridSpan w:val="3"/>
            <w:vMerge w:val="restart"/>
          </w:tcPr>
          <w:p>
            <w:pPr>
              <w:jc w:val="right"/>
              <w:ind w:right="689"/>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70"/>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August 31,</w:t>
            </w:r>
          </w:p>
        </w:tc>
        <w:tc>
          <w:tcPr>
            <w:tcW w:w="34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7"/>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5"/>
          </w:tcPr>
          <w:p>
            <w:pPr>
              <w:jc w:val="right"/>
              <w:ind w:right="48"/>
              <w:spacing w:after="0"/>
              <w:rPr>
                <w:sz w:val="20"/>
                <w:szCs w:val="20"/>
                <w:color w:val="auto"/>
              </w:rPr>
            </w:pPr>
            <w:r>
              <w:rPr>
                <w:rFonts w:ascii="Arial" w:cs="Arial" w:eastAsia="Arial" w:hAnsi="Arial"/>
                <w:sz w:val="13"/>
                <w:szCs w:val="13"/>
                <w:color w:val="auto"/>
              </w:rPr>
              <w:t>(Under Going Concern Basis of Accounting)</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information for continuing and discontinued operations</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Cash (refunded) paid for income taxes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(2,689)</w:t>
            </w:r>
          </w:p>
        </w:tc>
        <w:tc>
          <w:tcPr>
            <w:tcW w:w="5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3,805</w:t>
            </w: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4,265</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6,654</w:t>
            </w:r>
          </w:p>
        </w:tc>
        <w:tc>
          <w:tcPr>
            <w:tcW w:w="0" w:type="dxa"/>
            <w:vAlign w:val="bottom"/>
          </w:tcPr>
          <w:p>
            <w:pPr>
              <w:spacing w:after="0"/>
              <w:rPr>
                <w:sz w:val="1"/>
                <w:szCs w:val="1"/>
                <w:color w:val="auto"/>
              </w:rPr>
            </w:pPr>
          </w:p>
        </w:tc>
      </w:tr>
      <w:tr>
        <w:trPr>
          <w:trHeight w:val="135"/>
        </w:trPr>
        <w:tc>
          <w:tcPr>
            <w:tcW w:w="674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8"/>
              </w:rPr>
              <w:t>Supplemental schedule of non-cash investing and financing activities for continuing and discontinued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liquidating distribution</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40" w:type="dxa"/>
            <w:vAlign w:val="bottom"/>
          </w:tcPr>
          <w:p>
            <w:pPr>
              <w:ind w:left="220"/>
              <w:spacing w:after="0"/>
              <w:rPr>
                <w:sz w:val="20"/>
                <w:szCs w:val="20"/>
                <w:color w:val="auto"/>
              </w:rPr>
            </w:pPr>
            <w:r>
              <w:rPr>
                <w:rFonts w:ascii="Arial" w:cs="Arial" w:eastAsia="Arial" w:hAnsi="Arial"/>
                <w:sz w:val="14"/>
                <w:szCs w:val="14"/>
                <w:color w:val="auto"/>
              </w:rPr>
              <w:t>Convertible notes due December 2021 exchanged for convertible notes due December 2024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86,053</w:t>
            </w:r>
          </w:p>
        </w:tc>
        <w:tc>
          <w:tcPr>
            <w:tcW w:w="5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stock used to settle convertible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45,901</w:t>
            </w:r>
          </w:p>
        </w:tc>
        <w:tc>
          <w:tcPr>
            <w:tcW w:w="5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740" w:type="dxa"/>
            <w:vAlign w:val="bottom"/>
          </w:tcPr>
          <w:p>
            <w:pPr>
              <w:ind w:left="220"/>
              <w:spacing w:after="0"/>
              <w:rPr>
                <w:sz w:val="20"/>
                <w:szCs w:val="20"/>
                <w:color w:val="auto"/>
              </w:rPr>
            </w:pPr>
            <w:r>
              <w:rPr>
                <w:rFonts w:ascii="Arial" w:cs="Arial" w:eastAsia="Arial" w:hAnsi="Arial"/>
                <w:sz w:val="14"/>
                <w:szCs w:val="14"/>
                <w:color w:val="auto"/>
              </w:rPr>
              <w:t>Assets held for sale reclassified from other assets to intangible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31" w:right="37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PDL BIOPHARMA,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Throughout our history, the Company’s mission has been to improve the lives of patients by aiding in the successful development of innovative therapeutics and healthcare technologies. PDL BioPharma was founded in 1986 as Protein Design Labs, Inc. when it pioneered the humanization of monoclonal antibodies, enabling the discovery of a new generation of targeted treatments that have had a profound impact on patients living with different cancers as well as a variety of other debilitating diseases. In 2006, the Company changed its name to PDL BioPharma, Inc.</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Historically, the Company generated a substantial portion of its revenues through the license agreements related to patents covering the humanization of antibodies, which it refers to as the Queen et al. patents. In 2012, the Company began providing alternative sources of capital through royalty monetization and debt facilities, and, in 2016, the Company began acquiring commercial-stage products and launching specialized companies dedicated to the commercialization of these products. In 2019, and as a further evolution of the Company’s strategy, it began to enter into strategic transactions involving innovative late clinical-stage or early commercial-stage therapeutics. Consistent with this strategy, on April 10, 2019, the Company entered into a securities purchase agreement with Evofem Biosciences, Inc. (“Evofem”), pursuant to which it invested $60.0 million in a private placement of securities structured in two tranches.</w:t>
      </w:r>
    </w:p>
    <w:p>
      <w:pPr>
        <w:spacing w:after="0" w:line="22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September 2019, the Company engaged financial and legal advisors and initiated a review of its strategy. This review was completed in December 2019 at which time the Company announced that it decided to halt the execution of its growth strategy, cease additional strategic transactions and investments and instead pursue a formal process to unlock value by monetizing its assets and returning net proceeds to stockholders (the “monetization strategy”). Pursuant to the Company’s monetization strategy, the Company does not expect to enter into any additional strategic investments. The Company further announced in December 2019 that it would explore a variety of potential transactions in connection with the monetization strategy, including a whole Company sale, divestiture of assets, spin-offs of operating entities, merger opportunities or a combination thereof. Over the subsequent months, the Company’s Board of Directors (the “Board”) and management analyzed, together with outside financial and legal advisors, how to best capture value pursuant to the monetization strategy and best return the value of the assets in its portfolio to its stockholders.</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first quarter of 2020, the Board approved a plan of complete liquidation (the “Plan of Liquidation”) and passed a resolution to seek stockholder approval to dissolve the Company as permitted by the General Corporation Law of the State of Delaware (the “DGCL”). The proposal was approved by stockholders on August 19, 2020 at the Company’s 2020 Annual Meeting of Stockholders. On November 5, 2020, our Board approved filing a Certificate of Dissolution with the Secretary of State of Delaware on January 4, 2021 (the “Final Record Date”) and proceeding to complete the dissolution process for the Company in accordance with the DGCL. The liquidation and dissolution process will take a minimum of three years. However, the timing may be extended due to circumstances such as pending litigation or other factors that may affect the ability of the Company to wind down its business. Upon filing the Certificate of Dissolution on the Final Record Date, the Company closed its stock transfer books, meaning it will not record any further transfers of its common stock after the Final Record Date, except pursuant to the provisions of a deceased stockholder’s will, intestate succession, or by operation of law and the Company will not issue any new stock certificates, other than replacement certificates. In addition, after the Final Record Date, the Company will not issue any shares of its common stock for outstanding stock options. As a result of the closing of our transfer books, it is anticipated that distributions, if any, made in connection with the dissolution will be made pro rata to the stockholders of record as of the Final Record Date. On January 7, 2021 the Company was formally delisted from the Nasdaq Stock Market exchange, and it does not anticipate participating in Over-The-Counter (“OTC”) trading. On January 8, 2021, the Company filed a Form 15 notifying the SEC of deregistration of its common stock under Section 12(g) of the Exchange Act and suspension of its duty to file reports under Sections 13 and 15(d) of the Exchange Act.</w:t>
      </w:r>
    </w:p>
    <w:p>
      <w:pPr>
        <w:spacing w:after="0" w:line="19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Pursuant to the Company’s monetization strategy, the Company explored a variety of potential transactions, including a whole Company sale, divestiture of assets, spin-offs of operating entities, merger opportunities or a combination. During the year ended December 31, 2020, the Company’s Pharmaceutical and Strategic Positions segments and the royalty right assets within the Income Generating Assets segment met the criteria to be classified as held for sale. Those investments are reported as discontinued operations on the Consolidated Statements of Operations for the eight months ended August 31, 2020 and for the years ended December 31, 2019, and 2018 and as Assets and Liabilities held for sale on the Consolidated Balance Sheet as of December 31, 2019.</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7" w:name="page48"/>
    <w:bookmarkEnd w:id="47"/>
    <w:p>
      <w:pPr>
        <w:ind w:right="140"/>
        <w:spacing w:after="0" w:line="301" w:lineRule="auto"/>
        <w:rPr>
          <w:sz w:val="20"/>
          <w:szCs w:val="20"/>
          <w:color w:val="auto"/>
        </w:rPr>
      </w:pPr>
      <w:r>
        <w:rPr>
          <w:rFonts w:ascii="Arial" w:cs="Arial" w:eastAsia="Arial" w:hAnsi="Arial"/>
          <w:sz w:val="16"/>
          <w:szCs w:val="16"/>
          <w:color w:val="auto"/>
        </w:rPr>
        <w:t>Based on the composition of its investment portfolio, under the Going Concern Basis, the Company historically operated in four segments designated as Medical Devices, Strategic Positions, Pharmaceutical and Income Generating Assets. Those investments are reported as discontinued operations on the Consolidated Statements of Operations for the eight months ended August 31, 2020 and for the years ended December 31, 2019, and 2018. Following is a summary of the Company’s segments including those that have been classified as discontinued operations.</w:t>
      </w:r>
    </w:p>
    <w:p>
      <w:pPr>
        <w:spacing w:after="0" w:line="179"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The Medical Devices segment consisted of revenue derived from the sale and lease of the LENSAR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Laser System made by the Company’s majority-owned subsidiary, LENSAR, Inc. (“LENSAR”), which may include equipment, Patient Interface Devices (“PIDs”), procedure licenses, training, installation, warranty and maintenance agreements. On October 1, 2020, the Company completed the previously announced spin-off of LENSAR into a new, independent publicly traded company, through a distribution in the form of a liquidation distribution of all outstanding shares of LENSAR common stock owned by the Company to holders of the Company’s common stock on a pro rata basis (the “Distribution”). The Distribution was made to the Company’s stockholders of record as of the close of business on September 22, 2020 (the “LENSAR Record Date”) and such stockholders received</w:t>
      </w:r>
    </w:p>
    <w:p>
      <w:pPr>
        <w:spacing w:after="0" w:line="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0.075879 shares of LENSAR common stock for every one share of the Company’s common stock held as of close of business on the LENSAR Record Date. Prior to the Distribution, the Company owned approximately 81.5% of LENSAR common stock. Following the completion of the distribution, PDL does not own any equity interest in LENSAR. LENSAR became an independent public company whose stock is listed and trading under the symbol “LNSR” on the Nasdaq Stock Market.</w:t>
      </w:r>
    </w:p>
    <w:p>
      <w:pPr>
        <w:spacing w:after="0" w:line="220"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Strategic Positions segment consisted of an investment in Evofem. Evofem is a publicly-traded (NASDAQ: EVFM) clinical-stage biopharmaceutical company committed to developing and commercializing innovative products to address unmet needs in women's sexual and reproductive health. Evofem is leveraging its proprietary Multipurpose Vaginal pH Regulator (MVP-R™) platform to develop Phexxi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(L-lactic acid, citric acid and potassium bitartrate) for hormone-free birth control. On May 21, 2020 the Evofem common stock held within the Strategic Positions segment was distributed in the form of a liquidation distribution to the Company’s stockholders on a pro rata basis. As of December 31, 2020, the Company held warrants to purchase up to 3,333,334 shares of Evofem common stock at an exercise price of $6.38 per share.</w:t>
      </w:r>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Pharmaceutical segment consisted of revenue derived from branded prescription medicine products sold under the name Tekturna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Tekturna HCT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United States and Rasilez</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Rasilez HCT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the rest of the world and revenue generated from the sale of an authorized generic form of Tekturna in the United States (collectively, the “Noden Products”). The branded prescription Noden Products were acquired from Novartis AG, Novartis Pharma AG and Speedel Holding AG (collectively, “Novartis”) in July 2016 (the “Noden Transaction”) by the Company’s wholly-owned subsidiary, Noden Pharma DAC (“Noden DAC”). The Company, through its wholly-owned subsidiary, Noden Pharma USA Inc. (“Noden USA”) launched its authorized generic form of Tekturna in the United States in March 2019. In September 2020, the Company sold the Noden business, including its Noden Pharma USA, Inc. subsidiary (“Noden USA” and, together with Noden DAC, “Noden”) to a third-party.</w:t>
      </w:r>
    </w:p>
    <w:p>
      <w:pPr>
        <w:spacing w:after="0" w:line="2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Income Generating Assets segment consisted of revenue derived from (i) notes and other long-term receivables, (ii) royalty rights and hybrid notes/royalty receivables, (iii) equity investments and (iv) royalties from issued patents in the United States and elsewhere covering the humanization of antibodies, which we refer to as the Queen et al. patents.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accompanying Consolidated Financial Statements of PDL Biopharma, Inc. and its subsidiaries (collectively, the “Company” or “PDL”) have been prepared in accordance with Generally Accepted Accounting Principles (United States) (“GAAP”).</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Certain prior period amounts have been reclassified for consistency with the current period presentation. These reclassifications had no effect on the reported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Basis of Accounting</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result of the August 19, 2020 approval by the Company’s stockholders to file for dissolution pursuant to a plan of dissolution, it was determined that liquidation was imminent and the Company’s basis of accounting transitioned, effective September 1, 2020, the beginning of the fiscal month following the approval (“Convenience Date”), from the going concern basis of accounting (“Going Concern Basis”) to the liquidation basis of accounting (“Liquidation Basis”) in accordance with GAAP. Under the Liquidation Basis, the remeasurement of the Company's assets and liabilities includes management's estimates and assumptions of: (i) income to be generated from the remaining assets until the anticipated date of sale; (ii) sales proceeds to be received for these assets at the time of sale; (iii) operating expenses to be incurred; and (iv) amounts required to settle liabilities.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8" w:name="page49"/>
    <w:bookmarkEnd w:id="48"/>
    <w:p>
      <w:pPr>
        <w:ind w:right="720"/>
        <w:spacing w:after="0" w:line="342" w:lineRule="auto"/>
        <w:rPr>
          <w:sz w:val="20"/>
          <w:szCs w:val="20"/>
          <w:color w:val="auto"/>
        </w:rPr>
      </w:pPr>
      <w:r>
        <w:rPr>
          <w:rFonts w:ascii="Arial" w:cs="Arial" w:eastAsia="Arial" w:hAnsi="Arial"/>
          <w:sz w:val="16"/>
          <w:szCs w:val="16"/>
          <w:color w:val="auto"/>
        </w:rPr>
        <w:t>The estimated liquidation values for assets derived from future revenue streams and asset sales and the settlement of liabilities are reflected on the Consolidated Statement of Net Assets in Liquidation. The actual amounts realized could differ materially from the estimated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and majority-owned subsidiaries up to their date of sale or distribution. All significant intercompany balances and transactions have been eliminated upon consolidation.</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subsidiary is an entity in which the Company, directly or indirectly, controls more than one half of the voting power; has the power to appoint or remove the majority of the members of the board of directors; to cast a majority of votes at the meeting of the board of directors; or to govern the financial and operating policies of the investee under a statute or agreement among the stockholders or equity holders.</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Company applies the guidance codified in ASC 810, </w:t>
      </w:r>
      <w:r>
        <w:rPr>
          <w:rFonts w:ascii="Arial" w:cs="Arial" w:eastAsia="Arial" w:hAnsi="Arial"/>
          <w:sz w:val="17"/>
          <w:szCs w:val="17"/>
          <w:i w:val="1"/>
          <w:iCs w:val="1"/>
          <w:color w:val="auto"/>
        </w:rPr>
        <w:t>Consolidations</w:t>
      </w:r>
      <w:r>
        <w:rPr>
          <w:rFonts w:ascii="Arial" w:cs="Arial" w:eastAsia="Arial" w:hAnsi="Arial"/>
          <w:sz w:val="17"/>
          <w:szCs w:val="17"/>
          <w:color w:val="auto"/>
        </w:rPr>
        <w:t>, which requires certain variable interest entities to be consolidated by the primary beneficiary of the entity in which it has a controlling financial interest. The Company identifies an entity as a variable interest entity if either: (1) the entity does not have sufficient equity investment at risk to permit the entity to finance its activities without additional subordinated financial support, or (2) the entity’s equity investors lack the essential characteristics of a controlling financial interest. The Company performs ongoing qualitative assessments of its variable interest entities to determine whether the Company has a controlling financial interest in any variable interest entity and therefore is the primary beneficiary, and if it has the power to direct activities that impact the activities of the entity.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to the Consolidated Financial Statements. While such estimates and assumptions are not always unique to the basis of accounting being followed under GAAP, some are more applicable to the accounting basis being followed.</w:t>
      </w:r>
    </w:p>
    <w:p>
      <w:pPr>
        <w:spacing w:after="0" w:line="21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Under the Liquidation Basis, the accounting estimates that require management’s most significant, difficult and subjective judgments include: the determination that the liquidation was imminent; the estimated sales proceeds of our assets; estimated settlement amounts of our liabilities, the estimated revenue and operating expenses that are projected during dissolution and discount rates.</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Significant estimates under the Going Concern Basis include: the valuation of royalty rights; product revenue recognition and allowances for customer rebates; the valuation of notes receivable and inventory; the assessment of recoverability of intangible assets and their estimated useful lives; the valuation and recognition of stock-based compensation; the valuation of warrants to acquire shares of common stock and the discount rates used in fair value measurements.</w:t>
      </w:r>
    </w:p>
    <w:p>
      <w:pPr>
        <w:spacing w:after="0" w:line="21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Additional significant estimates under both the Liquidation Basis and Going Concern Basis include the recognition and measurement of current and deferred income tax assets and liabilities, including amounts recoverable under the Coronavirus Aid, Relief, and Economic Security (“CARES”) Act and the amount of uncertain tax positions.</w:t>
      </w:r>
    </w:p>
    <w:p>
      <w:pPr>
        <w:spacing w:after="0" w:line="211"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Furthermore, the impact on accounting estimates and judgments on the Company’s financial condition and results of operations due to the 2019 coronavirus (“COVID-19”) has introduced additional uncertainties. Actual results could differ materially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Under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operating segments are defined as components of an enterprise about which separate financial information is available that is regularly evaluated by the entity’s chief operating decision maker, in deciding how to allocate resources and in assessing performance. Under the Going Concern Basis, the Company evaluated its operating segments in accordance with ASC 280, and had identified four reportable segments: Medical Devices, Strategic Positions, Pharmaceutical and Income Generating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Severance and retention</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After the Company announced its monetization strategy, it recognized that its ability to execute on its plan and optimize returns to its stockholders depended to a large extent on its ability to retain the necessary expertise to effectively transact with respect to its assets. On December 21, 2019, the Compensation Committee of the Board adopted a Wind Down Retention Plan in which the Company’s executive officers and other employees who were participants in the Company’s Severance Plan were eligible to participate. Under the Wind Down Retention Plan, participants have been eligible to earn a retention benefit in consideration for their continued employment with the Company. The Wind Down Retention benefits are equivalent to previously disclosed compensation payments contemplated in connection with a change in control under the Company’s existing Severance Plan. Under the Wind Down Retention Plan, the Company has been obligated to pay a retention benefit to each participant upon termination of the participant’s employment with the Company either by the Company without cause or by the participant for good reason. The retention benefits are in lieu of (and not in addition to) any other severance compensation that were payable to the participant under the Company’s Severance Plan. In connection with the adoption of the Wind Down Retention Plan, a severance liability was being recorded over the remaining service period for the participating employees under the Going Concern Basis. Upon the adoption of the Liquidation Basis on September 1, 2020, all remaining estimated severance and retention costs were accrued. As of December 31, 2020, the Company has a remaining severance liability of $0.3 million, which is included in Compensation and benefit costs on the Company’s Consolidated Statement of Net Assets. Expenses associated with severance payments and accruals under the Going Concern Basis are reflected in Severance and retention on the Company’s Consolidated Statements of Operations for the eight months ended August 31, 2020.</w:t>
      </w:r>
    </w:p>
    <w:p>
      <w:pPr>
        <w:spacing w:after="0" w:line="19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Wind Down Retention Plan also provides that, consistent with the existing terms of the Company’s Amended and Restated 2005 Equity Incentive Plan (the “Equity Plan”), the vesting of all outstanding equity awards held by participants as of the date the Wind Down Retention Plan was adopted are accelerated upon the earlier of: (i) a termination of the participant’s employment with the Company either by the Company without cause or by the participant for good reason or (ii) the consummation of a change in control (as defined in the Equity Plan) of the Company. In addition, the post-termination exercise period for all outstanding stock options are extended until their expiration date. In connection with the Board adopting the Plan of Liquidation in the first quarter of 2020, all of the outstanding and unvested stock options and restricted stock granted to the Company’s employees and executive officers, with the exception of certain outstanding awards under the 2016/20 Long-Term Incentive Plan, accelerated and vested under the change in control definition in the Equity Plan. The expense associated with the accelerated vesting, totaling $15.7 million, is reported as Severance and retention on the Company’s Consolidated Statements of Operations for the eight months ended August 31, 2020 under the Going Concern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Going Concern Basis, assets and liabilities are classified as held for sale when all of the following criteria for a plan of sale have been met: (1) management, having the authority to approve the action, commits to a plan to sell the assets; (2) the assets are available for immediate sale, in their present condition, subject only to terms that are usual and customary for sales of such assets; (3) an active program to locate a buyer and other actions required to complete the plan to sell the assets have been initiated; (4) the sale of the assets is probable and is expected to be completed within one year; (5) the assets are being actively marketed for a price that is reasonable in relation to their current fair value; and (6) actions required to complete the plan indicate that it is unlikely that significant changes to the plan will be made or the plan will be withdrawn. When all of these criteria have been met, the assets and liabilities are classified as held for sale in the balance sheet. Assets classified as held for sale are reported at the lower of their carrying value or fair value less costs to sell. Depreciation and amortization of assets ceases upon designation as held for sale. The assets and liabilities held for sale are recorded on the Company’s Consolidated Balance Sheet as of December 31, 2019 as Assets held for sale and Liabilities held for sale,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Under the Going Concern Basis, discontinued operations comprise those activities that were disposed of during the period or which were classified as held for sale at the end of the period, represent a separate major line of business or geographical area that can be clearly distinguished for operational and financial reporting purposes and represent a strategic shift that has or will have a major effect on the Company’s operations and financial results. The profits and losses are presented on the Consolidated Statements of Operations as discontinued operations. See Note 4, </w:t>
      </w:r>
      <w:r>
        <w:rPr>
          <w:rFonts w:ascii="Arial" w:cs="Arial" w:eastAsia="Arial" w:hAnsi="Arial"/>
          <w:sz w:val="18"/>
          <w:szCs w:val="18"/>
          <w:i w:val="1"/>
          <w:iCs w:val="1"/>
          <w:color w:val="auto"/>
        </w:rPr>
        <w:t>Discontinued Operations Classified</w:t>
      </w:r>
      <w:r>
        <w:rPr>
          <w:rFonts w:ascii="Arial" w:cs="Arial" w:eastAsia="Arial" w:hAnsi="Arial"/>
          <w:sz w:val="18"/>
          <w:szCs w:val="18"/>
          <w:color w:val="auto"/>
        </w:rPr>
        <w:t xml:space="preserve"> </w:t>
      </w:r>
      <w:r>
        <w:rPr>
          <w:rFonts w:ascii="Arial" w:cs="Arial" w:eastAsia="Arial" w:hAnsi="Arial"/>
          <w:sz w:val="18"/>
          <w:szCs w:val="18"/>
          <w:i w:val="1"/>
          <w:iCs w:val="1"/>
          <w:color w:val="auto"/>
        </w:rPr>
        <w:t>as Assets Held for Sale</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considers all highly liquid investments with initial maturities of three months or less at the date of purchase to be cash equivalents. The Company places its cash and cash equivalents with high credit quality financial institutions and, by policy, limits the amount of credit exposure in any one financial instrument.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Under the Going Concern Basis the Company concluded that an allowance for doubtful accounts was not required as of December 31, 2019. On January 1, 2020 the Company adopted ASU No. 2016-13 on. See “Adopted Accounting Pronouncements” below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of December 31, 2020, the Company had an investment in a privately held company AEON BioPharma, Inc., including its ownership of Alphaeon 1, LLC, (formerly collectively referred to as “Alphaeon” and currently and collectively referred to as “AEON”). As of December 31, 2019, the Company’s investments were comprised of an investment in a privately held company and a publicly traded company, Evofem.</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Going Concern Basis, the Company’s investment in Evofem qualified for equity method accounting given its prior percentage ownership in Evofem and the ability to exercise significant influence. The Company elected the fair value method to account for its investment in Evofem as it believed it better reflected economic reality, the financial reporting of the investment and the current value of the asset. Changes in fair value of the Evofem equity investment are presented in the Consolidated Statements of Operations as discontinued operations. All shares of common stock of Evofem owned by PDL were distributed to the Company’s stockholders in May 2020. As of December 31, 2020, the Company held 3.3 million warrants convertible into Evofem common stock at an exercise price of $6.38 per share. Under the Going Concern Basis, the fair value of the warrants was estimated using recently quoted market prices of the underlying equity security and the Black-Scholes option pricing model. In addition to these inputs, under the Liquidation Basis, a discount is applied to the resulting value to reflect limited liquidity.</w:t>
      </w:r>
    </w:p>
    <w:p>
      <w:pPr>
        <w:spacing w:after="0" w:line="20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Company’s equity security investment in AEON qualified to be measured at fair value under the Going Concern Basis, although the fair value of the investment was not readily determinable as AEON’s shares are not publicly traded. The Company evaluated the fair value of this investment by performing a qualitative assessment each reporting period. If the results of this qualitative assessment indicated that the fair value was less than the carrying value, the investment was written down to its fair value. This investment is included in Other assets on the Consolidated Statement of Net Assets as of December 31, 2020 and on the Company’s Consolidated Balance Sheet as Other long-term assets as of December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Under the Going Concern Basis, the assets and liabilities are categorized and disclosed in one of the following three categories: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based on quoted market prices in active markets for identical assets and liabilities;</w:t>
      </w:r>
    </w:p>
    <w:p>
      <w:pPr>
        <w:spacing w:after="0" w:line="252" w:lineRule="exact"/>
        <w:rPr>
          <w:sz w:val="20"/>
          <w:szCs w:val="20"/>
          <w:color w:val="auto"/>
        </w:rPr>
      </w:pPr>
    </w:p>
    <w:p>
      <w:pPr>
        <w:jc w:val="both"/>
        <w:ind w:left="660" w:right="160"/>
        <w:spacing w:after="0" w:line="263" w:lineRule="auto"/>
        <w:rPr>
          <w:sz w:val="20"/>
          <w:szCs w:val="20"/>
          <w:color w:val="auto"/>
        </w:rPr>
      </w:pPr>
      <w:r>
        <w:rPr>
          <w:rFonts w:ascii="Arial" w:cs="Arial" w:eastAsia="Arial" w:hAnsi="Arial"/>
          <w:sz w:val="18"/>
          <w:szCs w:val="18"/>
          <w:color w:val="auto"/>
        </w:rPr>
        <w:t>Level 2 – 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 and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based on unobservable inputs using management’s best estimate and assumptions when inputs are unavailable.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and Other Long-Term Receivables</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Under the Going Concern Basis, the Company accounted for its notes receivable at amortized cost, net of unamortized origination fees, if any, and adjusted for any impairment losses. Interest was accreted or accrued to “Interest revenue” using the effective interest method. When and if supplemental payments were received from certain of these notes and other long-term receivables, an adjustment to the estimated effective interest rate was affected prospectively.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51" w:name="page52"/>
    <w:bookmarkEnd w:id="51"/>
    <w:p>
      <w:pPr>
        <w:ind w:right="280"/>
        <w:spacing w:after="0" w:line="291" w:lineRule="auto"/>
        <w:rPr>
          <w:sz w:val="20"/>
          <w:szCs w:val="20"/>
          <w:color w:val="auto"/>
        </w:rPr>
      </w:pPr>
      <w:r>
        <w:rPr>
          <w:rFonts w:ascii="Arial" w:cs="Arial" w:eastAsia="Arial" w:hAnsi="Arial"/>
          <w:sz w:val="16"/>
          <w:szCs w:val="16"/>
          <w:color w:val="auto"/>
        </w:rPr>
        <w:t>The Company evaluated the collectability of both interest and principal for each note receivable and loan to determine whether it is impaired. A note receivable or loan was considered to be impaired when, based on current information and events, the Company determines it is probable that it will be unable to collect amounts due according to the existing contractual terms. When a note receivable or loan was considered to be impaired, the amount of loss was calculated by comparing the carrying value of the financial asset to the value determined by discounting the expected future cash flows at the loan’s effective interest rate or to the estimated fair value of the underlying collateral, less costs to sell, if the loan was collateralized and the Company expected repayment to be provided solely by the collateral. Impairment assessments required significant judgments and were based on significant assumptions related to the borrower’s credit risk, financial performance, expected sales, and estimated fair value of the collateral.</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recorded interest on an accrual basis and recognized it was earned in accordance with the contractual terms of the credit agreement, to the extent that such amounts were expected to be collected. When a note receivable or loan became past due, or if management otherwise did not expect that principal, interest, and other obligations due would be collected in full, the Company generally placed the note receivable or loan on an impaired status and ceased recognizing interest income on that note receivable or loan. Any interest payments received for notes receivable or loans on an impaired status were recognized as interest income on a cash basis.</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did not recognized any interest revenue for the CareView Communications, Inc. (“CareView”) note receivable while on impaired status. The last interest payments were received during the year ended December 31, 2018, when the Company recognized $2.3 million of interest revenue for the CareView note receivable as a result of cash interest payments made during the year.</w:t>
      </w:r>
    </w:p>
    <w:p>
      <w:pPr>
        <w:spacing w:after="0" w:line="211"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As of December 31, 2020, the Company had one note receivable investment with a Liquidation Basis value of approximately $0.7 million. At December 31, 2019, under the Going Concern Basis, the Company had two note receivable investments, which were determined to be impaired, with a cumulative investment cost and fair value of approximately $52.1 million and $57.3 million, respectively, as of this date. During the eight months ended August 31, 2020 and the years ended December 31, 2019, and 2018, the Company did not recognize any losses on extinguishment of notes receivable.</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There were no impairment losses on notes receivable for the eight months ended August 31, 2020. During the years ended December 31, 2019 and 2018, the Company recorded an impairment loss of $10.8 million and $8.2 million, respectively, related to the CareView note receivable. For additional information about the impairment loss recorded on the CareView note receivable, see Note 9, </w:t>
      </w:r>
      <w:r>
        <w:rPr>
          <w:rFonts w:ascii="Arial" w:cs="Arial" w:eastAsia="Arial" w:hAnsi="Arial"/>
          <w:sz w:val="17"/>
          <w:szCs w:val="17"/>
          <w:i w:val="1"/>
          <w:iCs w:val="1"/>
          <w:color w:val="auto"/>
        </w:rPr>
        <w:t>Notes and Other Long-Term Receivables</w:t>
      </w:r>
      <w:r>
        <w:rPr>
          <w:rFonts w:ascii="Arial" w:cs="Arial" w:eastAsia="Arial" w:hAnsi="Arial"/>
          <w:sz w:val="17"/>
          <w:szCs w:val="17"/>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Going Concern Basis, Inventory, which consisted of raw materials, work-in-process and finished goods, was stated at the lower of cost or net realizable value. The Company determined cost using the first-in, first-out method. Inventory levels were analyzed periodically and written down to their net realizable value if they had become obsolete, had a cost basis in excess of its expected net realizable value or were in excess of expected requirements. The Company analyzed current and future product demand relative to the remaining product shelf life to identify potential excess inventory. The Company built demand forecasts by considering factors such as, but not limited to, overall market potential, market share, market acceptance and patient usage. The Company classified inventory as current on the Consolidated Balance Sheet when the Company expected inventory to be consumed for commercial use within the next twelve months.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Going Concern Basis, intangible assets with finite useful lives consisted primarily of customer relationships, acquired technology and trademarks. They were amortized on a straight-line basis over their estimated useful lives, ranging from five years to 20 years, which was consistent with the estimated lives of the associated products. Such assets were reviewed for impairment when events or circumstances indicated that the carrying value of an asset was not recoverable. An impairment loss was recognized when estimated undiscounted future cash flows expected to result from the use of an asset and its eventual disposition were less than its carrying amount. The amount of any impairment was measured as the difference between the carrying amount and the fair value of the impaired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Under the Going Concern Basis, Property and equipment are stated at cost less accumulated depreciation. Depreciation was computed using the straight-line method over the following estimated useful lives: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72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Lesser of useful life or term of lease</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7220" w:type="dxa"/>
            <w:vAlign w:val="bottom"/>
          </w:tcPr>
          <w:p>
            <w:pPr>
              <w:ind w:left="1720"/>
              <w:spacing w:after="0"/>
              <w:rPr>
                <w:sz w:val="20"/>
                <w:szCs w:val="20"/>
                <w:color w:val="auto"/>
              </w:rPr>
            </w:pPr>
            <w:r>
              <w:rPr>
                <w:rFonts w:ascii="Arial" w:cs="Arial" w:eastAsia="Arial" w:hAnsi="Arial"/>
                <w:sz w:val="18"/>
                <w:szCs w:val="18"/>
                <w:color w:val="auto"/>
              </w:rPr>
              <w:t>3-5 years</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72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3 years</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7220" w:type="dxa"/>
            <w:vAlign w:val="bottom"/>
          </w:tcPr>
          <w:p>
            <w:pPr>
              <w:ind w:left="1720"/>
              <w:spacing w:after="0"/>
              <w:rPr>
                <w:sz w:val="20"/>
                <w:szCs w:val="20"/>
                <w:color w:val="auto"/>
              </w:rPr>
            </w:pPr>
            <w:r>
              <w:rPr>
                <w:rFonts w:ascii="Arial" w:cs="Arial" w:eastAsia="Arial" w:hAnsi="Arial"/>
                <w:sz w:val="18"/>
                <w:szCs w:val="18"/>
                <w:color w:val="auto"/>
              </w:rPr>
              <w:t>3 years</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72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7 years</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Equipment under lease</w:t>
            </w:r>
          </w:p>
        </w:tc>
        <w:tc>
          <w:tcPr>
            <w:tcW w:w="7220" w:type="dxa"/>
            <w:vAlign w:val="bottom"/>
          </w:tcPr>
          <w:p>
            <w:pPr>
              <w:ind w:left="1720"/>
              <w:spacing w:after="0"/>
              <w:rPr>
                <w:sz w:val="20"/>
                <w:szCs w:val="20"/>
                <w:color w:val="auto"/>
              </w:rPr>
            </w:pPr>
            <w:r>
              <w:rPr>
                <w:rFonts w:ascii="Arial" w:cs="Arial" w:eastAsia="Arial" w:hAnsi="Arial"/>
                <w:sz w:val="18"/>
                <w:szCs w:val="18"/>
                <w:color w:val="auto"/>
              </w:rPr>
              <w:t>Greater of lease term or 5-10 years</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previously issued convertible notes with settlement features that allow the Company to settle the notes by paying or delivering, as applicable, cash, shares of the Company’s common stock or a combination of cash and shares of its common stock, at the Company’s election. In accordance with accounting guidance under the Going Concern Basis for convertible debt instruments that may be settled in cash or other assets on conversion, the Company separated the principal balance between the fair value of the liability component and the common stock conversion feature using a market interest rate for a similar nonconvertible instrument at the date of issuance.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Costs Related to Long-term Debt</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Going Concern Basis, costs associated with obtaining long-term debt were deferred and amortized over the term of the related debt using the effective interest method. Such costs are presented as reductions from the carrying amount of the long-term debt liability, consistent with debt discounts, on the Company’s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reported results under the Going Concern Basis reflected the application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Elections and Practical Expedients Taken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Upon the Company’s adoption of ASC 606, it elected the following practical expedients: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Shipping and handling costs associated with outbound freight after control over a product has transferred to a customer are accounted for as a fulfillment cost and are included in cost of product revenue.</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elected to apply the practical expedient that allows an entity to not adjust the promised amount of consideration in customer contracts for the effect of a significant financing component when the period between the transfer of product and services and payment of the related consideration is less than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accordance with ASC 606, revenue was recognized from the sale of products when a customer obtained control of promised products and services. The amount of revenue recognized reflects the consideration to which the Company expected to be entitled to receive in exchange for products and services. A five-step model was utilized to achieve the core principle and included the following steps: (1) identify the customer contract; (2) identify the contract’s performance obligations; (3) determine the transaction price; (4) allocate the transaction price to the performance obligations; and (5) recognize revenue when the performance obligations are satisfied.</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following is a description of principal activities - separated by reportable segments - from which the Company generated its revenue. For more detailed information about reportable segments, see Note 21,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Pharmaceutical</w:t>
      </w: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Company’s Pharmaceutical segment consisted of revenue derived from sales of the Noden Products. Noden’s revenue is included in Loss from discontinued operations.</w:t>
      </w:r>
    </w:p>
    <w:p>
      <w:pPr>
        <w:spacing w:after="0" w:line="19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agreement between Novartis and Noden DAC provided for various transition periods for development and commercialization activities relating to the Noden Products. For the period from July 1, 2016 through October 4, 2016, all of the Noden Products were distributed by Novartis under the terms of the Noden Purchase Agreement while transfers of the marketing authorization rights were pending. During this time, the Company presented revenue under the Novartis transition arrangement on a “net” basis and established a reserve for retroactive adjustment to the profit transfer with Novartis. As of the third quarter of 2018, Noden Pharma DAC completed the marketing authorization transfers for all territories.</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United States, the duration of the profit transfer ran from July 1, 2016 through October 4, 2016. Beginning on October 5, 2016, Noden Pharma USA, Inc. distributed the Noden Products in the United States. At such time, the Company presented revenue for all sales in the United States on a “gross” basis, meaning product costs were reported separately and there was no fee to Novartis, and established a reserve for discounts and allowances further described below.</w:t>
      </w:r>
    </w:p>
    <w:p>
      <w:pPr>
        <w:spacing w:after="0" w:line="21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Initially, Novartis distributed the Noden Products on behalf of Noden DAC worldwide and Noden DAC received a profit transfer on such sales. Generally, the profit transfer to Noden DAC was defined as gross revenues less product cost and a low single-digit percentage fee to Novartis. The profit transfer terminated upon the transfer of the marketing authorization from Novartis to Noden DAC in each country. For the period from October 5, 2016 to August 31, 2017, Novartis continued to distribute the Noden Products outside of the United States. Beginning on September 1, 2017, Noden Pharma DAC began distributing the Noden Products to select countries outside the United States. Outside the United States, the profit transfer ended in the first quarter of 2018.</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Except for the sales in certain countries outside of the United States preceding the final profit transfer that occurred in the first quarter of 2018, revenues of the Noden Products for the periods herein were recognized on a gross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Noden USA launched an authorized generic of Tekturna in the United States in March 2019.</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Pharmaceutical segment principally generated revenue from products sold to wholesalers and distributors. Customer orders were generally fulfilled within a few days of receipt resulting in minimal order backlog. Contractual performance obligations were usually limited to transfer of the product to the customer. The transfer occurred either upon shipment or upon receipt of the product in certain countries outside the United States after considering when the customer obtained control of the product. In addition, in some countries outside of the United States, the Company sold product on a consignment basis where control was not transferred until the customer resold the product to an end user. At these points, customers were able to direct the use of and obtain substantially all of the remaining benefits of the product.</w:t>
      </w:r>
    </w:p>
    <w:p>
      <w:pPr>
        <w:spacing w:after="0" w:line="21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Sales to customers were initially invoiced at contractual list prices. Payment terms were typically 30 to 90 days based on customary practice in each country. Revenue was reduced from the list price at the time of recognition for expected chargebacks, discounts, rebates, sales allowances and product returns, which were collectively referred to as gross-to-net adjustments. These reductions were attributed to various commercial agreements, managed healthcare organizations and government programs such as Medicare, Medicaid, and the 340B Drug Pricing Program containing various pricing implications such as mandatory discounts, pricing protection below wholesaler list price and other discounts when Medicare Part D beneficiaries were in the coverage gap. These various reductions in the transaction price were estimated using either a most likely amount, in the case of prompt pay discounts, or expected value method for all other variable consideration and were reflected as liabilities and was settled through cash payments, typically within time periods ranging from a few months to one year. 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212" w:lineRule="exact"/>
        <w:rPr>
          <w:sz w:val="20"/>
          <w:szCs w:val="20"/>
          <w:color w:val="auto"/>
        </w:rPr>
      </w:pPr>
    </w:p>
    <w:p>
      <w:pPr>
        <w:jc w:val="both"/>
        <w:ind w:right="620"/>
        <w:spacing w:after="0" w:line="311" w:lineRule="auto"/>
        <w:rPr>
          <w:sz w:val="20"/>
          <w:szCs w:val="20"/>
          <w:color w:val="auto"/>
        </w:rPr>
      </w:pPr>
      <w:r>
        <w:rPr>
          <w:rFonts w:ascii="Arial" w:cs="Arial" w:eastAsia="Arial" w:hAnsi="Arial"/>
          <w:sz w:val="16"/>
          <w:szCs w:val="16"/>
          <w:i w:val="1"/>
          <w:iCs w:val="1"/>
          <w:color w:val="auto"/>
        </w:rPr>
        <w:t xml:space="preserve">Customer Credits: </w:t>
      </w:r>
      <w:r>
        <w:rPr>
          <w:rFonts w:ascii="Arial" w:cs="Arial" w:eastAsia="Arial" w:hAnsi="Arial"/>
          <w:sz w:val="16"/>
          <w:szCs w:val="16"/>
          <w:color w:val="auto"/>
        </w:rPr>
        <w:t>The Company’s customers were offered various forms of consideration, including allowances, service fees and prompt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The Company expected customers would earn prompt payment discounts and, therefore, the Company deducted the full amount of these discounts from total product sales when revenues were recognized. Service fees were also deducted from total product sales as they were earned.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4" w:name="page55"/>
    <w:bookmarkEnd w:id="54"/>
    <w:p>
      <w:pPr>
        <w:ind w:right="60"/>
        <w:spacing w:after="0" w:line="254" w:lineRule="auto"/>
        <w:rPr>
          <w:sz w:val="20"/>
          <w:szCs w:val="20"/>
          <w:color w:val="auto"/>
        </w:rPr>
      </w:pPr>
      <w:r>
        <w:rPr>
          <w:rFonts w:ascii="Arial" w:cs="Arial" w:eastAsia="Arial" w:hAnsi="Arial"/>
          <w:sz w:val="18"/>
          <w:szCs w:val="18"/>
          <w:i w:val="1"/>
          <w:iCs w:val="1"/>
          <w:color w:val="auto"/>
        </w:rPr>
        <w:t xml:space="preserve">Rebates and Discounts: </w:t>
      </w:r>
      <w:r>
        <w:rPr>
          <w:rFonts w:ascii="Arial" w:cs="Arial" w:eastAsia="Arial" w:hAnsi="Arial"/>
          <w:sz w:val="18"/>
          <w:szCs w:val="18"/>
          <w:color w:val="auto"/>
        </w:rPr>
        <w:t>Allowances for rebates included mandated discounts under the Medicaid Drug Rebate Program in the United States and mandated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in the European Union (“EU”)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was based on negotiated discount rates and expected utilization as well as historical data. Estimates for expected utilization of rebates were based on data received from the customers. Rebates were generally invoiced and paid in arrears so that the accrual balance consists of an estimate of the amount expected to be incurred for the current quarter’s activity, plus an accrual balance for known prior quarters’ unpaid rebates.</w:t>
      </w:r>
    </w:p>
    <w:p>
      <w:pPr>
        <w:spacing w:after="0" w:line="22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which currently consist primarily of group purchasing</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Public Health Service institutions, non-profit clinics, and Federal government entities purchasing via the Federal Supply Schedule, purchased directly from the Company’s wholesalers. Contracted customers generally purchased the product at a discounted price. The wholesalers, in turn, charged back to the Company the difference between the price initially paid by the wholesalers to the Company and the discounted price paid by the contracted customers. In addition to actual chargebacks received, the Company maintained an accrual for chargebacks based on the estimated contractual discounts on products sold for which the chargeback had not been billed.</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Medicare Part D Coverage Gap: </w:t>
      </w:r>
      <w:r>
        <w:rPr>
          <w:rFonts w:ascii="Arial" w:cs="Arial" w:eastAsia="Arial" w:hAnsi="Arial"/>
          <w:sz w:val="18"/>
          <w:szCs w:val="18"/>
          <w:color w:val="auto"/>
        </w:rPr>
        <w:t>Medicare Part D prescription drug benefit mandates manufacturers to fund 70% in 2020 and 2019 and 50% in 2018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 Part D insurance coverage gap for prescription drugs sold to eligible patients. Estimates for the expected Medicare Part D coverage gap were based on historical invoices received and in part from data received from the Company’s customers. Funding of the coverage gap was generally invoiced and paid in arrears.</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Patients who have commercial insurance and meet certain eligibility requirements may receive co-payment assistance.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accrues a liability for co-payment assistance based on actual program participation and estimates of program redemption using data provided by third-party administrators.</w:t>
      </w:r>
    </w:p>
    <w:p>
      <w:pPr>
        <w:spacing w:after="0" w:line="21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Returns: </w:t>
      </w:r>
      <w:r>
        <w:rPr>
          <w:rFonts w:ascii="Arial" w:cs="Arial" w:eastAsia="Arial" w:hAnsi="Arial"/>
          <w:sz w:val="16"/>
          <w:szCs w:val="16"/>
          <w:color w:val="auto"/>
        </w:rPr>
        <w:t>Returns were generally estimated and recorded based on historical sales and returns information. Products that exhibited unusual sales or return</w:t>
      </w:r>
      <w:r>
        <w:rPr>
          <w:rFonts w:ascii="Arial" w:cs="Arial" w:eastAsia="Arial" w:hAnsi="Arial"/>
          <w:sz w:val="16"/>
          <w:szCs w:val="16"/>
          <w:i w:val="1"/>
          <w:iCs w:val="1"/>
          <w:color w:val="auto"/>
        </w:rPr>
        <w:t xml:space="preserve"> </w:t>
      </w:r>
      <w:r>
        <w:rPr>
          <w:rFonts w:ascii="Arial" w:cs="Arial" w:eastAsia="Arial" w:hAnsi="Arial"/>
          <w:sz w:val="16"/>
          <w:szCs w:val="16"/>
          <w:color w:val="auto"/>
        </w:rPr>
        <w:t>patterns due to dating, competition or other marketing matters were specifically investigated and analyzed as part of the accounting for sales returns.</w:t>
      </w:r>
    </w:p>
    <w:p>
      <w:pPr>
        <w:spacing w:after="0" w:line="15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Reserves for chargebacks, discounts, rebates, sales allowances and product returns are included within Liabilities held for sale in the Company’s Consolidated Balance Sheet as of December 31, 2019.</w:t>
      </w:r>
    </w:p>
    <w:p>
      <w:pPr>
        <w:spacing w:after="0" w:line="19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licenses that were bundled with other promises, the Company utilized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license fees. The Company evaluated the measure of progress each reporting period and, if necessary, adjusted the measure of performance and related revenue recognition.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Devices</w:t>
      </w:r>
    </w:p>
    <w:p>
      <w:pPr>
        <w:spacing w:after="0" w:line="24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Medical Devices segment principally generated revenue from the sale and lease of the LENSAR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Laser System and the sale of other related products and services prior to the spin-off of LENSAR in October 2020.</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For bundled packages, which included the sale or lease of a LENSAR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Laser System and provision of other products and services, the Company accounted for individual products and services separately if they were distinct—i.e. if a product or service was separately identifiable from other items in the bundled package and if the customer could benefit from it on its own or with other resources that are readily available to the customer. The LENSAR Laser System, training and installation services were one performance obligation. The other products and services, including PIDs, procedure licenses, and extended warranty services, which were either sold together with the LENSAR Laser System or on a standalone basis, were all accounted for as separate performance obligations. The transaction price of bundled packages was allocated to each performance obligation on a relative standalone selling price basis. Standalone selling prices were based on observable prices at which the Company separately sold the products or services. If a standalone selling price was not directly observable, the Company estimated the selling price using available observable information.</w:t>
      </w:r>
    </w:p>
    <w:p>
      <w:pPr>
        <w:spacing w:after="0" w:line="19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recognized revenue as the performance obligations are satisfied by transferring control of the product or service to a customer, as described below.</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Product Revenue</w:t>
      </w:r>
      <w:r>
        <w:rPr>
          <w:rFonts w:ascii="Arial" w:cs="Arial" w:eastAsia="Arial" w:hAnsi="Arial"/>
          <w:sz w:val="18"/>
          <w:szCs w:val="18"/>
          <w:color w:val="auto"/>
        </w:rPr>
        <w:t>. The Company recognized revenue for the sale of the following products at a point in time:</w:t>
      </w:r>
    </w:p>
    <w:p>
      <w:pPr>
        <w:spacing w:after="0" w:line="252"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i w:val="1"/>
          <w:iCs w:val="1"/>
          <w:color w:val="auto"/>
        </w:rPr>
        <w:t>Equipment</w:t>
      </w:r>
      <w:r>
        <w:rPr>
          <w:rFonts w:ascii="Arial" w:cs="Arial" w:eastAsia="Arial" w:hAnsi="Arial"/>
          <w:sz w:val="18"/>
          <w:szCs w:val="18"/>
          <w:color w:val="auto"/>
        </w:rPr>
        <w:t>. The Company’s LENSAR Laser System sales were recognized as Product revenue when the Company transferred control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This usually occurred after the customer signed a contract, LENSAR installed the system, and LENSAR performed the requisite training for use of the system for direct customers. LENSAR Laser System sales to distributors were recognized as revenue upon shipment as they did not require training and installation.</w:t>
      </w:r>
    </w:p>
    <w:p>
      <w:pPr>
        <w:spacing w:after="0" w:line="214" w:lineRule="exact"/>
        <w:rPr>
          <w:sz w:val="20"/>
          <w:szCs w:val="20"/>
          <w:color w:val="auto"/>
        </w:rPr>
      </w:pPr>
    </w:p>
    <w:p>
      <w:pPr>
        <w:jc w:val="both"/>
        <w:ind w:left="660" w:right="40"/>
        <w:spacing w:after="0" w:line="293" w:lineRule="auto"/>
        <w:rPr>
          <w:sz w:val="20"/>
          <w:szCs w:val="20"/>
          <w:color w:val="auto"/>
        </w:rPr>
      </w:pPr>
      <w:r>
        <w:rPr>
          <w:rFonts w:ascii="Arial" w:cs="Arial" w:eastAsia="Arial" w:hAnsi="Arial"/>
          <w:sz w:val="16"/>
          <w:szCs w:val="16"/>
          <w:i w:val="1"/>
          <w:iCs w:val="1"/>
          <w:color w:val="auto"/>
        </w:rPr>
        <w:t>PID and Procedure Licenses</w:t>
      </w:r>
      <w:r>
        <w:rPr>
          <w:rFonts w:ascii="Arial" w:cs="Arial" w:eastAsia="Arial" w:hAnsi="Arial"/>
          <w:sz w:val="16"/>
          <w:szCs w:val="16"/>
          <w:color w:val="auto"/>
        </w:rPr>
        <w:t>. The LENSAR Laser System requires both a PID and a procedure license to perform each procedure.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Product revenue for PIDs when the Company transferred control of the PID. The Company recognized Product revenue for procedure licenses at the point in time when control of the procedure license was transferred to the customer. A procedure license represents a one-time right to utilize the LENSAR Laser System surgical application in connection with a surgery procedure. For the sale of PIDs and procedure licenses, the Company had the option to offer volume discounts to certain customers. To determine the amount of revenue that should be recognized at the time control over these products transferred to the customer, the Company estimated the average per unit price, net of discounts.</w:t>
      </w:r>
    </w:p>
    <w:p>
      <w:pPr>
        <w:spacing w:after="0" w:line="19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The Company offered an extended warranty that provided additional maintenance services beyond the standard limited warranty.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recognized Service revenue from the sale of extended warranties over the warranty period on a ratable basis as the Company stood ready to provide services as needed. Customers had the option of renewing the warranty period, which was considered a new and separate contract.</w:t>
      </w:r>
    </w:p>
    <w:p>
      <w:pPr>
        <w:spacing w:after="0" w:line="17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Lease Revenue</w:t>
      </w:r>
      <w:r>
        <w:rPr>
          <w:rFonts w:ascii="Arial" w:cs="Arial" w:eastAsia="Arial" w:hAnsi="Arial"/>
          <w:sz w:val="17"/>
          <w:szCs w:val="17"/>
          <w:color w:val="auto"/>
        </w:rPr>
        <w:t>. For LENSAR Laser System operating leases, the Company recognized lease revenue over the length of the lease in accordance with ASC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through December 31, 2018 and recognized lease revenue in accordance with ASC Topic 842, Leases, after January 1, 2019. For additional information regarding accounting for leases, see the Leases section within this footnote below and Note 10,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The Company offered a variety of commission plans to the Company’s salesforce. Certain compensation under these plans was earned by sales representatives solely as a result of obtaining a customer contract. These are considered incremental costs of obtaining a contract and were eligible for capitalization under ASC 340-40, </w:t>
      </w:r>
      <w:r>
        <w:rPr>
          <w:rFonts w:ascii="Arial" w:cs="Arial" w:eastAsia="Arial" w:hAnsi="Arial"/>
          <w:sz w:val="18"/>
          <w:szCs w:val="18"/>
          <w:i w:val="1"/>
          <w:iCs w:val="1"/>
          <w:color w:val="auto"/>
        </w:rPr>
        <w:t>Other Assets and Deferred Costs – Contracts with Customers</w:t>
      </w:r>
      <w:r>
        <w:rPr>
          <w:rFonts w:ascii="Arial" w:cs="Arial" w:eastAsia="Arial" w:hAnsi="Arial"/>
          <w:sz w:val="18"/>
          <w:szCs w:val="18"/>
          <w:color w:val="auto"/>
        </w:rPr>
        <w:t>, to the extent they were recoverable. For goods or services that were to be delivered over a period that was longer than one year, incremental costs of obtaining a contract were capitalized and expensed over the period the related revenue was recognized. The Company elected not to defer costs related to goods or services that were to be delivered over a period that was one year or less.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Financing Component</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provided extended payment terms to certain customers that represented a significant financing component. The Company adjusted the amount of promised consideration for the time value of money using its discount rate and recognized interest income separate from the revenue recognized on contracts with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Warranty Obligations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offered limited warranties on the Company’s products which provided the customer assurance that the product would function as the parties intended because it complied with agreed-upon specifications; therefore, these assurance-type warranties were not treated as a separate revenue performance obligation and were accounted for as guarantees under U.S. GAAP. The Company regularly reviewed its warranty liability and updated those balances based on historical warranty cost trends.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Generating Assets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Going Concern Basis, for licenses of intellectual property, if the license to the Company’s intellectual property was determined to be distinct from the other performance obligations identified in the arrangement, the Company recognized revenues from non-refundable, up-front fees allocated to the license when the license was transferred to the customer and the customer was able to use and benefit from the license.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January 2018, DFM, LLC, a wholly-owned subsidiary of the Company, granted an exclusive license related to certain Direct Flow Medical, Inc. assets in exchange for $0.5 million in cash and up to $2.0 million in royalty payments. The $0.5 million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ind w:right="40"/>
        <w:spacing w:after="0" w:line="342" w:lineRule="auto"/>
        <w:rPr>
          <w:sz w:val="20"/>
          <w:szCs w:val="20"/>
          <w:color w:val="auto"/>
        </w:rPr>
      </w:pPr>
      <w:r>
        <w:rPr>
          <w:rFonts w:ascii="Arial" w:cs="Arial" w:eastAsia="Arial" w:hAnsi="Arial"/>
          <w:sz w:val="16"/>
          <w:szCs w:val="16"/>
          <w:color w:val="auto"/>
        </w:rPr>
        <w:t>payment was accounted for in accordance with ASC 606 under which the full cash payment was recognized as revenue in the first quarter of 2018 as DFM, LLC had fulfilled its performance obligation under the agreement. In September 2019, the remaining assets of DFM, LLC were sold for $5.0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 et al. Royalty Revenues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license agreements related to the Queen et al. patents, the Company received royalty payments based upon its licensees’ net sales of covered products. Under the Going Concern Basis, royalties qualify for the sales-and-usage exemption under ASC 606 as (i) royalties are based strictly on the sales-and-usage by the licensee; and (ii) a license of intellectual property is the sole or predominant item to which such royalties relate. Based on this exemption, these royalties were earned under the terms of a license agreement in the period the products were sold by the Company's partner and the Company had a present right to payment. Generally, under these agreements, the Company received royalty reports from its licensees approximately one quarter in arrears; that is, generally in the second month of the quarter after the licensee has sold the royalty-bearing product. The Company recognized royalty revenues when it could reliably estimate such amounts and collectability was reasonably assured. Under this accounting policy, the royalty revenues the Company reported were not based upon estimates, and such royalty revenues were typically reported in the same period in which the Company received payment from its licensees.</w:t>
      </w:r>
    </w:p>
    <w:p>
      <w:pPr>
        <w:spacing w:after="0" w:line="20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Although the last of the Queen et al. patents expired in December 2014, the Company has received royalties beyond expiration based on the terms of its licenses and its legal settlement. Under the terms of the legal settlement between Genentech, Inc. (“Genentech”) and the Company, the first quarter of 2016 was the last period for which Genentech paid royalties to the Company for Avastin</w:t>
      </w:r>
      <w:r>
        <w:rPr>
          <w:rFonts w:ascii="Arial" w:cs="Arial" w:eastAsia="Arial" w:hAnsi="Arial"/>
          <w:sz w:val="22"/>
          <w:szCs w:val="22"/>
          <w:color w:val="auto"/>
          <w:vertAlign w:val="superscript"/>
        </w:rPr>
        <w:t>®</w:t>
      </w:r>
      <w:r>
        <w:rPr>
          <w:rFonts w:ascii="Arial" w:cs="Arial" w:eastAsia="Arial" w:hAnsi="Arial"/>
          <w:sz w:val="17"/>
          <w:szCs w:val="17"/>
          <w:color w:val="auto"/>
        </w:rPr>
        <w:t>, Herceptin</w:t>
      </w:r>
      <w:r>
        <w:rPr>
          <w:rFonts w:ascii="Arial" w:cs="Arial" w:eastAsia="Arial" w:hAnsi="Arial"/>
          <w:sz w:val="22"/>
          <w:szCs w:val="22"/>
          <w:color w:val="auto"/>
          <w:vertAlign w:val="superscript"/>
        </w:rPr>
        <w:t>®</w:t>
      </w:r>
      <w:r>
        <w:rPr>
          <w:rFonts w:ascii="Arial" w:cs="Arial" w:eastAsia="Arial" w:hAnsi="Arial"/>
          <w:sz w:val="17"/>
          <w:szCs w:val="17"/>
          <w:color w:val="auto"/>
        </w:rPr>
        <w:t>, Xolair</w:t>
      </w:r>
      <w:r>
        <w:rPr>
          <w:rFonts w:ascii="Arial" w:cs="Arial" w:eastAsia="Arial" w:hAnsi="Arial"/>
          <w:sz w:val="22"/>
          <w:szCs w:val="22"/>
          <w:color w:val="auto"/>
          <w:vertAlign w:val="superscript"/>
        </w:rPr>
        <w:t>®</w:t>
      </w:r>
      <w:r>
        <w:rPr>
          <w:rFonts w:ascii="Arial" w:cs="Arial" w:eastAsia="Arial" w:hAnsi="Arial"/>
          <w:sz w:val="17"/>
          <w:szCs w:val="17"/>
          <w:color w:val="auto"/>
        </w:rPr>
        <w:t>, Perjeta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Kadcyla</w:t>
      </w:r>
      <w:r>
        <w:rPr>
          <w:rFonts w:ascii="Arial" w:cs="Arial" w:eastAsia="Arial" w:hAnsi="Arial"/>
          <w:sz w:val="22"/>
          <w:szCs w:val="22"/>
          <w:color w:val="auto"/>
          <w:vertAlign w:val="superscript"/>
        </w:rPr>
        <w:t>®</w:t>
      </w:r>
      <w:r>
        <w:rPr>
          <w:rFonts w:ascii="Arial" w:cs="Arial" w:eastAsia="Arial" w:hAnsi="Arial"/>
          <w:sz w:val="17"/>
          <w:szCs w:val="17"/>
          <w:color w:val="auto"/>
        </w:rPr>
        <w:t>. Other products from the Queen et al. patent licenses, such as Tysabri</w:t>
      </w:r>
      <w:r>
        <w:rPr>
          <w:rFonts w:ascii="Arial" w:cs="Arial" w:eastAsia="Arial" w:hAnsi="Arial"/>
          <w:sz w:val="22"/>
          <w:szCs w:val="22"/>
          <w:color w:val="auto"/>
          <w:vertAlign w:val="superscript"/>
        </w:rPr>
        <w:t>®</w:t>
      </w:r>
      <w:r>
        <w:rPr>
          <w:rFonts w:ascii="Arial" w:cs="Arial" w:eastAsia="Arial" w:hAnsi="Arial"/>
          <w:sz w:val="17"/>
          <w:szCs w:val="17"/>
          <w:color w:val="auto"/>
        </w:rPr>
        <w:t>, entitled the Company to royalties following the expiration of its patents with respect to sales of licensed product manufactured prior to patent expiry in jurisdictions providing patent protection licenses. In November 2017, the Company was notified by Biogen, Inc. that product supply for Tysabri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that was manufactured prior to patent expiry and for which the Company would receive royalties, had been extinguished in the United States and was rapidly being reduced in other countries. As a result, royalties from product sales of Tysabri were consecutively lower in 2018 and 2019 during which time they ceased.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Rights - At Fair Value</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Going Concern Basis, the Company accounted for its investments in royalty rights at fair value with changes in fair value presented in earnings. The fair value of the investments in royalty rights was determined by using a discounted cash flow analysis related to the expected future cash flows to be received. These assets were classified as Level 3 assets within the fair value hierarchy, as the Company’s valuation estimates utilized significant unobservable inputs, including estimates as to the probability and timing of future sales of the related products. Transaction-related fees and costs were expensed as incurred.</w:t>
      </w:r>
    </w:p>
    <w:p>
      <w:pPr>
        <w:spacing w:after="0" w:line="21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Under the Going Concern Basis, the changes in the estimated fair value from investments in royalty rights along with cash receipts in each reporting period were presented together on the Company’s Consolidated Statements of Operations as Loss from discontinued operations before income taxes.</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Going Concern Basis, realized gains and losses on royalty rights were recognized as they were earned and when collection was reasonably assured. Royalty Rights revenue was recognized over the respective contractual arrangement period. Critical estimates included product demand and market growth assumptions, inventory target levels, product approval, pricing assumptions and the impact of competition from other branded or generic products. Factors that could cause a change in estimates of future cash flows included a change in estimated market size, a change in pricing strategy or reimbursement coverage, a delay in obtaining regulatory approval, a change in dosage of the product a change in the number of treatments and the entrants of new competitors or generic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each arrangement, the Company is entitled to royalty payments based on revenue generated by the net sales of the product.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Under the Going Concern Basis, the Company expensed research and development costs as incurred. Research and development expenses consisted primarily of engineering, product development, clinical studies to develop and support the Company’s products, regulatory expenses, and other costs associated with products and technologies that were in development. Research and development expenses included employee compensation, including stock-based compensation, supplies, consulting, prototyping, testing, materials, travel expenses, and depreciation.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Under the Going Concern Basis, the Company used the U.S. dollar predominately as the functional currency of its foreign subsidiaries. For foreign subsidiaries where the U.S. dollar was the functional currency, gains and losses from remeasurement of foreign currency balances into U.S. dollars are included in the Consolidated Statements of Operations. The aggregate net (losses) gains resulting from foreign currency transactions and remeasurement of foreign currency balances into U.S. dollars that were included in the Consolidated Statements of Operations amounted to a gain of $0.2 million and a loss of $0.5 million and $0.7 million for the eight months ended August 31, 2020 and the years ended December 31, 2019 and 2018,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Under the Going Concern Basis, comprehensive loss was comprised of net loss adjusted for other comprehensive loss, using the specific identification method, which included unrealized gains and losses on the Company’s investments in available-for-sale securities, net of tax, which are excluded from the Company’s net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The provision for income taxes is determined using the asset and liability approach. Tax laws require items to be included in tax filings at different times than the items are reflected in the Consolidated Financial Statements. A current liability is recognized for the estimated taxes payable for the current year. Deferred taxes represent the future tax consequences expected to occur when the reported amounts of assets and liabilities are recovered or paid. Deferred taxes are adjusted for enacted changes in tax rates and tax laws. Valuation allowances are recorded to reduce deferred tax assets when it is more likely than not that a tax benefit will not be realized.</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adjusts the level of the liability to reflect any subsequent changes in the relevant facts surrounding the uncertain positions. Any interest and penalties on uncertain tax positions are included within the tax provision.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that supersedes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Subsequently, the FASB issued several updates to ASU No. 2016-02, codified in ASC Topic 842 (“ASC 842”). The Company adopted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on January 1, 2019 using the modified retrospective method for all leases not substantially completed as of the date of adoption. The reported results for the eight months ended August 31, 2020 and the year ended December 31, 2019 reflect the application of ASC 842 guidance while the reported results for the year ended December 31, 2018 was prepared under the guidance of ASC 840, which is also referred to herein as “legacy GAAP” or the “previous guidance”. The cumulative impact of the adoption of ASC 842 was not material, therefore, the Company did not record any adjustments to retained earnings. As a result of adopting ASC 842, the Company recorded operating lease right-of-use (“ROU”) assets of $2.1 million and operating lease liabilities of $2.1 million, primarily related to corporate office leases, based on the present value of the future lease payments on the date of adoption. Changes to lessor accounting focused on conforming with certain changes made to lessee accounting and the recently adopted revenue recognition guidance. The adoption of ASC 842 did not materially change how the Company accounted for lessor arrangements.</w:t>
      </w:r>
    </w:p>
    <w:p>
      <w:pPr>
        <w:spacing w:after="0" w:line="21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the Going Concern Basis, the Company determined if an arrangement was a lease or contained an embedded lease at inception if it contained the right to control the use of an identified asset under a leasing arrangement with an initial term greater than 12 months. The Company determined whether a contract conveyed the right to control the use of an identified asset for a period of time if the contract contained both the right to obtain substantially all of the economic benefits from the use of the identified asset and the right to direct the use of the identified asset. The Company has lease arrangements with lease and non-lease components, which were accounted for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Policy Elections and Practical Expedients Taken</w:t>
      </w:r>
    </w:p>
    <w:p>
      <w:pPr>
        <w:spacing w:after="0" w:line="25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For leases that commenced before the effective date of ASC 842, the Company elected the practical expedients to not reassess the following: (i) whether any expired or existing contracts contain leases; (ii) the lease classification for any expired or existing leases; and (iii) initial direct costs for any existing leases.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adopted a policy of expensing short-term leases, defined as 12 months or less, as incurred.</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policy was to exclude from the consideration in a lessor contract all taxes assessed by a governmental authority that are both imposed on and concurrent with a specific lease revenue-producing transaction and collected by the Company from a lessee.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Under the Going Concern Basis, lessee operating leases are included in Other assets, Accrued liabilities, and Other long-term liabilities in the Company’s Consolidated Balance Sheet. The Company does not have lessee financing leases.</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Operating lease ROU assets represent the Company’s right to use an underlying asset for the lease term and lease liabilities represent its obligation to make lease payments arising from the lease. Under the Going Concern Basis, operating lease ROU assets and liabilities are recognized at the commencement date based on the present value of lease payments over the lease term. The Company used the implicit rate when readily determinable at lease inception. As most of the Company’s leases do not provide an implicit rate, the Company used its incremental borrowing rate based on the information available at the commencement date in determining the present value of lease payments. The Company’s remaining lease terms may include options to extend or terminate the lease when it is reasonably certain that the Company will exercise that option. Lease expense for lease payments was recognized on a straight-line basis as operating expense in the Consolidated Statements of Operations over the lease term.</w:t>
      </w:r>
    </w:p>
    <w:p>
      <w:pPr>
        <w:spacing w:after="0" w:line="20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lease arrangements with lease and non-lease components where the Company is the lessee, the Company separately accounted for lease and non-lease components, which consists primarily of taxes and common area maintenance costs. Non-lease components were expensed as incurred.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leased medical device equipment to customers in operating lease arrangements generated from its Medical Devices segment.</w:t>
      </w:r>
    </w:p>
    <w:p>
      <w:pPr>
        <w:spacing w:after="0" w:line="25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For lease arrangements with lease and non-lease components where the Company was the lessor, the Company allocated the contract’s transaction price (including discounts) to the lease and non-lease components on a relative standalone selling price basis using the Company’s best estimate of the standalone selling price of each distinct product or service in the contract. Lease elements generally included a LENSAR Laser System, while non-lease elements generally included extended warranty services, PIDs and procedure licenses. The stand-alone selling prices for the extended warranty services, PIDs and procedure licenses were determined based on the prices at which the Company separately sold such products and services. The LENSAR Laser System stand-alone selling prices were determined using the expected cost plus a margin approach. Allocation of the transaction price was determined at the inception of the lease arrangement. The Company’s leases primarily consisted of leases with fixed lease payments. For those leases with variable lease payments, the variable lease payment was typically based upon use of the leased equipment or the purchase of procedure licenses and PIDs used with the leased equipment. Non-lease components were accounted for under ASC 606</w:t>
      </w:r>
      <w:r>
        <w:rPr>
          <w:rFonts w:ascii="Arial" w:cs="Arial" w:eastAsia="Arial" w:hAnsi="Arial"/>
          <w:sz w:val="17"/>
          <w:szCs w:val="17"/>
          <w:i w:val="1"/>
          <w:iCs w:val="1"/>
          <w:color w:val="auto"/>
        </w:rPr>
        <w:t>.</w:t>
      </w:r>
      <w:r>
        <w:rPr>
          <w:rFonts w:ascii="Arial" w:cs="Arial" w:eastAsia="Arial" w:hAnsi="Arial"/>
          <w:sz w:val="17"/>
          <w:szCs w:val="17"/>
          <w:color w:val="auto"/>
        </w:rPr>
        <w:t xml:space="preserve"> For additional information regarding ASC 606, see Note 20,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leases included options to extend the leases on a month-to-month basis if the customer does not notify the Company of the intention to return the equipment at the end of the lease term. The Company typically did not offer options to terminate the leases before the end of the lease term. A new contract was generated if a customer intended to continue using the equipment under the initial term and the new contract term was not included in the initial lease term.</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whether a transaction should be classified as a sales-type or operating lease, the Company considered the following criteria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auto"/>
        </w:rPr>
        <w:t>whether the underlying system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 The Company does not have any sales-type leases.</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 operating leases, rental income was recognized on a straight-line basis over the lease term. The cost of customer-leased equipment was recorded within Property and equipment, net in the accompanying Consolidated Balance Sheet and depreciated over the equipment’s estimated useful life. Depreciation expense associated with the leased equipment under operating lease arrangements was reflected in Cost of product revenue in the accompanying Consolidated Statements of Operations for the eight months ended August 31, 2020 and the year ended December 31, 2019. Some of the Company’s operating leases included a purchase option for the customer to purchase the leased asset at the end of the lease arrangement. The purchase price did not qualify as a bargain purchase option. The Company managed its risk on its investment in the equipment through pricing and the term of the leases. Lessees did not provide residual value guarantees on leased equipment. Equipment returned to the Company could be leased or sold to other customers. Initial direct costs were deferred and recognized over the lease 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2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June 2016, the FASB issued ASU No. 2016-13, Financial Instruments - Credit Losses: Measurement of Credit Losses on Financial Instruments. The guidance amended the impairment model to utilize an expected loss methodology in place of the incurred loss methodology, resulting in more timely recognition of losses. The Company adopted ASU No. 2016-13 on January 1, 2020 using a modified retrospective approach. The adoption of this standard did not have a material impact on the Company’s consolidated financial statements. As a consequence of adopting ASU 2016-13, the Company’s accounts receivable accounting policy under the Going Concern Basis was updated, as follows: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Accounts and Notes Receivable</w:t>
      </w:r>
    </w:p>
    <w:p>
      <w:pPr>
        <w:spacing w:after="0" w:line="252" w:lineRule="exact"/>
        <w:rPr>
          <w:sz w:val="20"/>
          <w:szCs w:val="20"/>
          <w:color w:val="auto"/>
        </w:rPr>
      </w:pPr>
    </w:p>
    <w:p>
      <w:pPr>
        <w:ind w:left="660" w:right="20"/>
        <w:spacing w:after="0" w:line="275" w:lineRule="auto"/>
        <w:rPr>
          <w:sz w:val="20"/>
          <w:szCs w:val="20"/>
          <w:color w:val="auto"/>
        </w:rPr>
      </w:pPr>
      <w:r>
        <w:rPr>
          <w:rFonts w:ascii="Arial" w:cs="Arial" w:eastAsia="Arial" w:hAnsi="Arial"/>
          <w:sz w:val="17"/>
          <w:szCs w:val="17"/>
          <w:color w:val="auto"/>
        </w:rPr>
        <w:t>The Company makes estimates of the collectability of accounts receivable. In doing so, the Company analyzes historical bad debt trends, customer credit worthiness, current economic trends and changes in customer payment patterns when evaluating the adequacy of the allowance for credit losses. Amounts are charged off against the allowance for credit losses when the Company determines that recovery is unlikely and the Company ceases collection efforts. The Company applies the practical expedient for its collateral-dependent notes receivable. Estimated credit losses are based on the fair value of the collateral (less costs to sell, as applicable).</w:t>
      </w: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2020, the FASB issued a staff question-and-answer document, “Topic 842 and Topic 840: Accounting for Lease Concessions Related to the Effects of the COVID-19 Pandemic” (the “COVID-19 Q&amp;A”), to address certain frequently asked questions pertaining to lease concessions arising from the effects of the COVID-19 pandemic. Existing lease guidance requires entities to determine if a lease concession was a result of a new arrangement reached with the lessee (which would be addressed under the lease modification accounting framework) or if a lease concession was under the enforceable rights and obligations within the existing lease agreement (which would not fall under the lease modification framework). The COVID-19 Q&amp;A clarifies that entities may elect to not evaluate whether lease-related relief granted in light of the effects of COVID-19 is a lease or obligations of the lease. This election is available for concessions that result in the total payments required by the modified contract being substantially the same or less than the total payments required by the original contract.</w:t>
      </w:r>
    </w:p>
    <w:p>
      <w:pPr>
        <w:spacing w:after="0" w:line="2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the COVID-19 pandemic, LENSAR entered into agreements with 23 customers through which LENSAR agreed to waive monthly rental and minimum monthly license fees ranging from one to four months for an aggregate of $0.9 million of revenue for the eight months ended August 31, 2020, consisting of $0.5 million in Product revenue, $0.3 million in Lease revenue and $0.1 million in Service revenue. In return for these concessions the related contracts were extended by the same number of months waived. No accounts receivable or notes receivable amounts were deemed uncollectible due to COVID-19 during the 2020 periods presented herein; however, the Company considered the effects of COVID-19 in estimating its credit losses for the period.</w:t>
      </w:r>
    </w:p>
    <w:p>
      <w:pPr>
        <w:spacing w:after="0" w:line="2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August 2018, the FASB issued ASU No. 2018-13, Fair Value Measurement. The new guidance modifies disclosure requirements related to fair value measurement. The Company adopted ASU No. 2018-13 on January 1, 2020. The adoption did not have an effect on the Consolidated Financial Statements on the adoption date and no adjustment to prior year Consolidated Financial Statements was required.</w:t>
      </w:r>
    </w:p>
    <w:p>
      <w:pPr>
        <w:spacing w:after="0" w:line="2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August 2018, the FASB issued ASU No. 2018-15, Intangibles-Goodwill and Other-Internal-Use Software. The new guidance reduces complexity for the accounting for costs of implementing a cloud computing service arrangement and aligns the requirements for capitalizing implementation costs incurred in a hosting arrangement that is a service contract with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jc w:val="both"/>
        <w:ind w:right="220"/>
        <w:spacing w:after="0" w:line="311" w:lineRule="auto"/>
        <w:rPr>
          <w:sz w:val="20"/>
          <w:szCs w:val="20"/>
          <w:color w:val="auto"/>
        </w:rPr>
      </w:pPr>
      <w:r>
        <w:rPr>
          <w:rFonts w:ascii="Arial" w:cs="Arial" w:eastAsia="Arial" w:hAnsi="Arial"/>
          <w:sz w:val="16"/>
          <w:szCs w:val="16"/>
          <w:color w:val="auto"/>
        </w:rPr>
        <w:t>requirements for capitalizing implementation costs incurred to develop or obtain internal-use software (and hosting arrangements that include an internal use software license). The Company adopted ASU No. 2018-15 on January 1, 2020 using the prospective transition option. The adoption did not have an effect on the Consolidated Financial Statements on the adoption date and no adjustment to prior year Consolidated Financial Statements was required.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Simplifying the Accounting for Income Taxes</w:t>
      </w:r>
      <w:r>
        <w:rPr>
          <w:rFonts w:ascii="Arial" w:cs="Arial" w:eastAsia="Arial" w:hAnsi="Arial"/>
          <w:sz w:val="17"/>
          <w:szCs w:val="17"/>
          <w:color w:val="auto"/>
        </w:rPr>
        <w:t>.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ASU will be effective for public companies for fiscal years, and interim periods within those fiscal years beginning after December 15, 2020. Early adoption is permitted. Certain amendments in this update must be applied on a prospective basis, certain amendments must be applied on a retrospective basis, and certain amendments must be applied on a modified retrospective basis through a cumulative effect adjustment to retained earnings/(deficit) in the period of adoption. The Company does not expect this guidance to have a significant impact on its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Assets in Liquidation</w:t>
      </w:r>
    </w:p>
    <w:p>
      <w:pPr>
        <w:spacing w:after="0" w:line="25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Upon adoption of the Liquidation Basis on September 1, 2020, the Company estimated the net assets in liquidation, which represents the expected future cash flows related to its remaining assets, liabilities and operating costs through dissolution. The actual cash inflows and outflows may differ materially from the estimated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Net Equity, as of August 31, 2020</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425,214</w:t>
            </w:r>
          </w:p>
        </w:tc>
        <w:tc>
          <w:tcPr>
            <w:tcW w:w="0" w:type="dxa"/>
            <w:vAlign w:val="bottom"/>
          </w:tcPr>
          <w:p>
            <w:pPr>
              <w:spacing w:after="0"/>
              <w:rPr>
                <w:sz w:val="1"/>
                <w:szCs w:val="1"/>
                <w:color w:val="auto"/>
              </w:rPr>
            </w:pPr>
          </w:p>
        </w:tc>
      </w:tr>
      <w:tr>
        <w:trPr>
          <w:trHeight w:val="250"/>
        </w:trPr>
        <w:tc>
          <w:tcPr>
            <w:tcW w:w="9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adopting the liquidation basis of accounting:</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Change in the estimated value of royalty rights </w:t>
            </w:r>
            <w:r>
              <w:rPr>
                <w:rFonts w:ascii="Arial" w:cs="Arial" w:eastAsia="Arial" w:hAnsi="Arial"/>
                <w:sz w:val="23"/>
                <w:szCs w:val="23"/>
                <w:color w:val="auto"/>
                <w:vertAlign w:val="superscript"/>
              </w:rPr>
              <w:t>(1)</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13,770</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Change in the receivable from the sale of Noden </w:t>
            </w:r>
            <w:r>
              <w:rPr>
                <w:rFonts w:ascii="Arial" w:cs="Arial" w:eastAsia="Arial" w:hAnsi="Arial"/>
                <w:sz w:val="23"/>
                <w:szCs w:val="23"/>
                <w:color w:val="auto"/>
                <w:vertAlign w:val="superscript"/>
              </w:rPr>
              <w:t>(2)</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0" w:type="dxa"/>
            <w:vAlign w:val="bottom"/>
          </w:tcPr>
          <w:p>
            <w:pPr>
              <w:spacing w:after="0"/>
              <w:rPr>
                <w:sz w:val="1"/>
                <w:szCs w:val="1"/>
                <w:color w:val="auto"/>
              </w:rPr>
            </w:pPr>
          </w:p>
        </w:tc>
      </w:tr>
      <w:tr>
        <w:trPr>
          <w:trHeight w:val="229"/>
        </w:trPr>
        <w:tc>
          <w:tcPr>
            <w:tcW w:w="9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Increase in intangible assets </w:t>
            </w:r>
            <w:r>
              <w:rPr>
                <w:rFonts w:ascii="Arial" w:cs="Arial" w:eastAsia="Arial" w:hAnsi="Arial"/>
                <w:sz w:val="23"/>
                <w:szCs w:val="23"/>
                <w:color w:val="auto"/>
                <w:vertAlign w:val="superscript"/>
              </w:rPr>
              <w:t>(3)</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28,702</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Change in the estimated value of other assets </w:t>
            </w:r>
            <w:r>
              <w:rPr>
                <w:rFonts w:ascii="Arial" w:cs="Arial" w:eastAsia="Arial" w:hAnsi="Arial"/>
                <w:sz w:val="23"/>
                <w:szCs w:val="23"/>
                <w:color w:val="auto"/>
                <w:vertAlign w:val="superscript"/>
              </w:rPr>
              <w:t>(4)</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30"/>
        </w:trPr>
        <w:tc>
          <w:tcPr>
            <w:tcW w:w="94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Estimated liquidation and future operating costs </w:t>
            </w:r>
            <w:r>
              <w:rPr>
                <w:rFonts w:ascii="Arial" w:cs="Arial" w:eastAsia="Arial" w:hAnsi="Arial"/>
                <w:sz w:val="23"/>
                <w:szCs w:val="23"/>
                <w:color w:val="auto"/>
                <w:vertAlign w:val="superscript"/>
              </w:rPr>
              <w:t>(5)</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23"/>
        </w:trPr>
        <w:tc>
          <w:tcPr>
            <w:tcW w:w="9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effect of adopting the liquidation basis of accounting</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21,339</w:t>
            </w:r>
          </w:p>
        </w:tc>
        <w:tc>
          <w:tcPr>
            <w:tcW w:w="0" w:type="dxa"/>
            <w:vAlign w:val="bottom"/>
          </w:tcPr>
          <w:p>
            <w:pPr>
              <w:spacing w:after="0"/>
              <w:rPr>
                <w:sz w:val="1"/>
                <w:szCs w:val="1"/>
                <w:color w:val="auto"/>
              </w:rPr>
            </w:pPr>
          </w:p>
        </w:tc>
      </w:tr>
      <w:tr>
        <w:trPr>
          <w:trHeight w:val="270"/>
        </w:trPr>
        <w:tc>
          <w:tcPr>
            <w:tcW w:w="94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in liquidation, as of September 1, 2020</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446,553</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420" w:type="dxa"/>
            <w:vAlign w:val="bottom"/>
            <w:vMerge w:val="continue"/>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20" w:right="40" w:hanging="250"/>
        <w:spacing w:after="0" w:line="273" w:lineRule="auto"/>
        <w:tabs>
          <w:tab w:leader="none" w:pos="342"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 xml:space="preserve">The royalty rights consist of Assertio and University of Michigan (“U-M”). The Assertio royalties are valued using undiscounted estimated cash receipts until the estimated date of sale of June 30, 2021, plus a discounted value of the remaining estimated cash flows as an estimate of the expected cash consideration from the sale of these royalty rights at this time. The Company expects it will retain the royalty rights for the U-M royalty asset until its expiration in September 2022. As such, it is valued as the sum of its undiscounted cash receipts until the end of the agreement. Previously, under the Going Concern Basis, royalty rights were valued using discounted cash flow models, see Note 8,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302"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32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Arial" w:cs="Arial" w:eastAsia="Arial" w:hAnsi="Arial"/>
                <w:sz w:val="16"/>
                <w:szCs w:val="16"/>
                <w:b w:val="1"/>
                <w:bCs w:val="1"/>
                <w:color w:val="auto"/>
              </w:rPr>
              <w:t>August 31, 2020</w:t>
            </w:r>
          </w:p>
        </w:tc>
        <w:tc>
          <w:tcPr>
            <w:tcW w:w="206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1, 2020</w:t>
            </w: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06"/>
        </w:trPr>
        <w:tc>
          <w:tcPr>
            <w:tcW w:w="240" w:type="dxa"/>
            <w:vAlign w:val="bottom"/>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98"/>
              </w:rPr>
              <w:t>(Going Concern Basis)</w:t>
            </w:r>
          </w:p>
        </w:tc>
        <w:tc>
          <w:tcPr>
            <w:tcW w:w="100" w:type="dxa"/>
            <w:vAlign w:val="bottom"/>
          </w:tcPr>
          <w:p>
            <w:pPr>
              <w:spacing w:after="0"/>
              <w:rPr>
                <w:sz w:val="17"/>
                <w:szCs w:val="17"/>
                <w:color w:val="auto"/>
              </w:rPr>
            </w:pPr>
          </w:p>
        </w:tc>
        <w:tc>
          <w:tcPr>
            <w:tcW w:w="198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(Liquidation Basis)</w:t>
            </w:r>
          </w:p>
        </w:tc>
        <w:tc>
          <w:tcPr>
            <w:tcW w:w="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70"/>
        </w:trPr>
        <w:tc>
          <w:tcPr>
            <w:tcW w:w="3260" w:type="dxa"/>
            <w:vAlign w:val="bottom"/>
            <w:gridSpan w:val="2"/>
          </w:tcPr>
          <w:p>
            <w:pPr>
              <w:ind w:left="40"/>
              <w:spacing w:after="0"/>
              <w:rPr>
                <w:sz w:val="20"/>
                <w:szCs w:val="20"/>
                <w:color w:val="auto"/>
              </w:rPr>
            </w:pPr>
            <w:r>
              <w:rPr>
                <w:rFonts w:ascii="Arial" w:cs="Arial" w:eastAsia="Arial" w:hAnsi="Arial"/>
                <w:sz w:val="16"/>
                <w:szCs w:val="16"/>
                <w:color w:val="auto"/>
              </w:rPr>
              <w:t>Assertio</w:t>
            </w:r>
          </w:p>
        </w:tc>
        <w:tc>
          <w:tcPr>
            <w:tcW w:w="2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200,463$</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211,626$</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11,163</w:t>
            </w:r>
          </w:p>
        </w:tc>
      </w:tr>
      <w:tr>
        <w:trPr>
          <w:trHeight w:val="219"/>
        </w:trPr>
        <w:tc>
          <w:tcPr>
            <w:tcW w:w="240" w:type="dxa"/>
            <w:vAlign w:val="bottom"/>
          </w:tcPr>
          <w:p>
            <w:pPr>
              <w:spacing w:after="0"/>
              <w:rPr>
                <w:sz w:val="19"/>
                <w:szCs w:val="19"/>
                <w:color w:val="auto"/>
              </w:rPr>
            </w:pPr>
          </w:p>
        </w:tc>
        <w:tc>
          <w:tcPr>
            <w:tcW w:w="30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U-M</w:t>
            </w:r>
          </w:p>
        </w:tc>
        <w:tc>
          <w:tcPr>
            <w:tcW w:w="2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17,450</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20,057</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2,607</w:t>
            </w:r>
          </w:p>
        </w:tc>
      </w:tr>
      <w:tr>
        <w:trPr>
          <w:trHeight w:val="238"/>
        </w:trPr>
        <w:tc>
          <w:tcPr>
            <w:tcW w:w="24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217,913$</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231,683$</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13,770</w:t>
            </w:r>
          </w:p>
        </w:tc>
      </w:tr>
      <w:tr>
        <w:trPr>
          <w:trHeight w:val="20"/>
        </w:trPr>
        <w:tc>
          <w:tcPr>
            <w:tcW w:w="24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-453390</wp:posOffset>
            </wp:positionV>
            <wp:extent cx="687514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344" w:lineRule="exact"/>
        <w:rPr>
          <w:sz w:val="20"/>
          <w:szCs w:val="20"/>
          <w:color w:val="auto"/>
        </w:rPr>
      </w:pPr>
    </w:p>
    <w:p>
      <w:pPr>
        <w:ind w:left="420" w:right="440" w:hanging="250"/>
        <w:spacing w:after="0" w:line="267" w:lineRule="auto"/>
        <w:tabs>
          <w:tab w:leader="none" w:pos="342"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 xml:space="preserve">Adjustments reflect Liquidation Basis which does not discount future estimated cash receipts. Previously, under the Going Concern Basis we had estimated the fair value of Noden, as an asset held for sale, using a discounted cash flow model, see Note 8,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1" w:name="page62"/>
    <w:bookmarkEnd w:id="61"/>
    <w:p>
      <w:pPr>
        <w:ind w:left="420" w:right="20" w:hanging="250"/>
        <w:spacing w:after="0" w:line="269" w:lineRule="auto"/>
        <w:tabs>
          <w:tab w:leader="none" w:pos="342" w:val="left"/>
        </w:tabs>
        <w:numPr>
          <w:ilvl w:val="1"/>
          <w:numId w:val="26"/>
        </w:numPr>
        <w:rPr>
          <w:rFonts w:ascii="Arial" w:cs="Arial" w:eastAsia="Arial" w:hAnsi="Arial"/>
          <w:sz w:val="21"/>
          <w:szCs w:val="21"/>
          <w:color w:val="auto"/>
          <w:vertAlign w:val="superscript"/>
        </w:rPr>
      </w:pPr>
      <w:r>
        <w:rPr>
          <w:rFonts w:ascii="Arial" w:cs="Arial" w:eastAsia="Arial" w:hAnsi="Arial"/>
          <w:sz w:val="16"/>
          <w:szCs w:val="16"/>
          <w:color w:val="auto"/>
        </w:rPr>
        <w:t>The increase in intangible assets represents the difference between the existing assets and liabilities of LENSAR upon adoption of Liquidation Basis and its enterprise value that was distributed to PDL shareholders in the spin-off of LENSAR on October 1, 2020. The enterprise value was determined through an analysis of comparable public companies combined with cash flow forecasts.</w:t>
      </w:r>
    </w:p>
    <w:p>
      <w:pPr>
        <w:spacing w:after="0" w:line="18" w:lineRule="exact"/>
        <w:rPr>
          <w:rFonts w:ascii="Arial" w:cs="Arial" w:eastAsia="Arial" w:hAnsi="Arial"/>
          <w:sz w:val="21"/>
          <w:szCs w:val="21"/>
          <w:color w:val="auto"/>
          <w:vertAlign w:val="superscript"/>
        </w:rPr>
      </w:pPr>
    </w:p>
    <w:p>
      <w:pPr>
        <w:ind w:left="420" w:right="240" w:hanging="250"/>
        <w:spacing w:after="0" w:line="267" w:lineRule="auto"/>
        <w:tabs>
          <w:tab w:leader="none" w:pos="342" w:val="left"/>
        </w:tabs>
        <w:numPr>
          <w:ilvl w:val="1"/>
          <w:numId w:val="26"/>
        </w:numPr>
        <w:rPr>
          <w:rFonts w:ascii="Arial" w:cs="Arial" w:eastAsia="Arial" w:hAnsi="Arial"/>
          <w:sz w:val="21"/>
          <w:szCs w:val="21"/>
          <w:color w:val="auto"/>
          <w:vertAlign w:val="superscript"/>
        </w:rPr>
      </w:pPr>
      <w:r>
        <w:rPr>
          <w:rFonts w:ascii="Arial" w:cs="Arial" w:eastAsia="Arial" w:hAnsi="Arial"/>
          <w:sz w:val="16"/>
          <w:szCs w:val="16"/>
          <w:color w:val="auto"/>
        </w:rPr>
        <w:t>Adjustments to other assets include a liquidity discount for the Evofem warrants and the write-off of certain assets that will not be converted to cash such as prepaid expenses, fixed assets and right of use assets.</w:t>
      </w:r>
    </w:p>
    <w:p>
      <w:pPr>
        <w:spacing w:after="0" w:line="12" w:lineRule="exact"/>
        <w:rPr>
          <w:rFonts w:ascii="Arial" w:cs="Arial" w:eastAsia="Arial" w:hAnsi="Arial"/>
          <w:sz w:val="21"/>
          <w:szCs w:val="21"/>
          <w:color w:val="auto"/>
          <w:vertAlign w:val="superscript"/>
        </w:rPr>
      </w:pPr>
    </w:p>
    <w:p>
      <w:pPr>
        <w:ind w:left="420" w:right="20" w:hanging="250"/>
        <w:spacing w:after="0" w:line="273" w:lineRule="auto"/>
        <w:tabs>
          <w:tab w:leader="none" w:pos="342" w:val="left"/>
        </w:tabs>
        <w:numPr>
          <w:ilvl w:val="1"/>
          <w:numId w:val="26"/>
        </w:numPr>
        <w:rPr>
          <w:rFonts w:ascii="Arial" w:cs="Arial" w:eastAsia="Arial" w:hAnsi="Arial"/>
          <w:sz w:val="21"/>
          <w:szCs w:val="21"/>
          <w:color w:val="auto"/>
          <w:vertAlign w:val="superscript"/>
        </w:rPr>
      </w:pPr>
      <w:r>
        <w:rPr>
          <w:rFonts w:ascii="Arial" w:cs="Arial" w:eastAsia="Arial" w:hAnsi="Arial"/>
          <w:sz w:val="16"/>
          <w:szCs w:val="16"/>
          <w:color w:val="auto"/>
        </w:rPr>
        <w:t>Represents estimated future expenses related to operating the business through dissolution and settlement of future liabilities. Amounts include estimated compensation, legal and other professional fees, insurance, taxes, estimated costs to dispose of our assets and other miscellaneous expenses. Certain of the estimated costs to dispose of our assets had already been accrued under the Going Concern Basis and were presented net within our assets held for sale.</w:t>
      </w:r>
    </w:p>
    <w:p>
      <w:pPr>
        <w:spacing w:after="0" w:line="20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 Classified as Assets Held for Sale</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result of the above-described monetization strategy and subsequent efforts to monetize the Company’s key assets, representing a strategic shift in the operations of the Company, the assets held for sale and discontinued operations criteria were met for the Company’s royalty assets (included in the Income Generating Assets segment) and its Noden subsidiaries (Pharmaceutical segment) during the first quarter of 2020. The discontinued operations criteria were met for the Company’s investment in Evofem (Strategic Positions segment) during the second quarter of 2020 after the Company distributed all of its shares of common stock of Evofem to the Company’s stockholders. The historical financial results of the investment in Evofem, royalty assets and Noden are reflected in the Company’s consolidated financial statements as discontinued operations for all Going Concern Basis periods presented herein, and assets and liabilities were retrospectively reclassified as assets and liabilities held for sale.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On July 30, 2020, the Company signed a definitive agreement for the sale of the Company’s interest in Noden DAC and Noden USA to CAT Capital Bidco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Limited (“Stanley Capital”). In accordance with the terms of the agreement, the Company expects to receive consideration of up to $52.8 million. Stanley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made an initial cash payment to the Company of $12.2 million on September 9, 2020, the closing date of the transaction. The Company is also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entitled to recover $0.5 million related to value-added tax (“VAT”) for inventory purchases from Novartis. The agreement provides for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$33.0 million to be paid to the Company in twelve equal quarterly installments from January 2021 to October 2023. An additional $3.9 million will be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four equal quarterly installments from January 2023 to October 2023. The agreement also provides for the potential for additional contingent payments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Company. The Company is entitled to receive $2.5 million upon Stanley Capital or any of its affiliates entering into a binding agreement for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specified transaction within one year of the closing date. The Company is also entitled to 50% of a license fee from a third party distributor within 10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receipt by Noden. Upon closing, the Company recorded a gain of $0.2 million. In connection with the closing of the transaction, the guaranty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Novartis and the Company, which guaranteed certain payments owed to Novartis by Noden, was terminated. As of December 31, 2020,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Liquidation Basis, the remaining receivable from the sale of Noden was $39.4 million and is included in “Receivables from asset sales” in the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Net Assets in Liquidation. Refer to Note 3, </w:t>
      </w:r>
      <w:r>
        <w:rPr>
          <w:rFonts w:ascii="Arial" w:cs="Arial" w:eastAsia="Arial" w:hAnsi="Arial"/>
          <w:sz w:val="17"/>
          <w:szCs w:val="17"/>
          <w:i w:val="1"/>
          <w:iCs w:val="1"/>
          <w:color w:val="auto"/>
        </w:rPr>
        <w:t>Net Assets in Liquidation</w:t>
      </w:r>
      <w:r>
        <w:rPr>
          <w:rFonts w:ascii="Arial" w:cs="Arial" w:eastAsia="Arial" w:hAnsi="Arial"/>
          <w:sz w:val="17"/>
          <w:szCs w:val="17"/>
          <w:color w:val="auto"/>
        </w:rPr>
        <w:t>, for a discussion of the valuation of the Noden asset sale receivable under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Liquidation Basis.</w:t>
      </w:r>
    </w:p>
    <w:p>
      <w:pPr>
        <w:spacing w:after="0" w:line="232"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On August 31, 2020, the Company announced the signing and closing of a definitive agreement for the sale of its royalty interests for Kybella</w:t>
      </w:r>
      <w:r>
        <w:rPr>
          <w:rFonts w:ascii="Arial" w:cs="Arial" w:eastAsia="Arial" w:hAnsi="Arial"/>
          <w:sz w:val="23"/>
          <w:szCs w:val="23"/>
          <w:color w:val="auto"/>
          <w:vertAlign w:val="superscript"/>
        </w:rPr>
        <w:t>®</w:t>
      </w:r>
      <w:r>
        <w:rPr>
          <w:rFonts w:ascii="Arial" w:cs="Arial" w:eastAsia="Arial" w:hAnsi="Arial"/>
          <w:sz w:val="18"/>
          <w:szCs w:val="18"/>
          <w:color w:val="auto"/>
        </w:rPr>
        <w:t>, Zalviso</w:t>
      </w:r>
      <w:r>
        <w:rPr>
          <w:rFonts w:ascii="Arial" w:cs="Arial" w:eastAsia="Arial" w:hAnsi="Arial"/>
          <w:sz w:val="23"/>
          <w:szCs w:val="23"/>
          <w:color w:val="auto"/>
          <w:vertAlign w:val="superscript"/>
        </w:rPr>
        <w:t>®</w:t>
      </w:r>
      <w:r>
        <w:rPr>
          <w:rFonts w:ascii="Arial" w:cs="Arial" w:eastAsia="Arial" w:hAnsi="Arial"/>
          <w:sz w:val="18"/>
          <w:szCs w:val="18"/>
          <w:color w:val="auto"/>
        </w:rPr>
        <w:t>, and Coflex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SWK Funding, LLC, a wholly owned subsidiary of SWK Holdings Corporation, for $4.35 million in cash.</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Components of amounts reflected in Loss from discontinued operations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Eight Months Ended</w:t>
            </w:r>
          </w:p>
        </w:tc>
        <w:tc>
          <w:tcPr>
            <w:tcW w:w="340" w:type="dxa"/>
            <w:vAlign w:val="bottom"/>
          </w:tcPr>
          <w:p>
            <w:pPr>
              <w:spacing w:after="0"/>
              <w:rPr>
                <w:sz w:val="16"/>
                <w:szCs w:val="16"/>
                <w:color w:val="auto"/>
              </w:rPr>
            </w:pPr>
          </w:p>
        </w:tc>
        <w:tc>
          <w:tcPr>
            <w:tcW w:w="2840" w:type="dxa"/>
            <w:vAlign w:val="bottom"/>
            <w:gridSpan w:val="4"/>
            <w:vMerge w:val="restart"/>
          </w:tcPr>
          <w:p>
            <w:pPr>
              <w:jc w:val="right"/>
              <w:ind w:right="61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3"/>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August 31,</w:t>
            </w:r>
          </w:p>
        </w:tc>
        <w:tc>
          <w:tcPr>
            <w:tcW w:w="340" w:type="dxa"/>
            <w:vAlign w:val="bottom"/>
          </w:tcPr>
          <w:p>
            <w:pPr>
              <w:spacing w:after="0"/>
              <w:rPr>
                <w:sz w:val="18"/>
                <w:szCs w:val="18"/>
                <w:color w:val="auto"/>
              </w:rPr>
            </w:pPr>
          </w:p>
        </w:tc>
        <w:tc>
          <w:tcPr>
            <w:tcW w:w="28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6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Product revenue,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80,796</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Royalty rights - change in fair value</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85,287</w:t>
            </w:r>
          </w:p>
        </w:tc>
        <w:tc>
          <w:tcPr>
            <w:tcW w:w="0" w:type="dxa"/>
            <w:vAlign w:val="bottom"/>
          </w:tcPr>
          <w:p>
            <w:pPr>
              <w:spacing w:after="0"/>
              <w:rPr>
                <w:sz w:val="1"/>
                <w:szCs w:val="1"/>
                <w:color w:val="auto"/>
              </w:rPr>
            </w:pPr>
          </w:p>
        </w:tc>
      </w:tr>
      <w:tr>
        <w:trPr>
          <w:trHeight w:val="21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24,051</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166,083</w:t>
            </w:r>
          </w:p>
        </w:tc>
        <w:tc>
          <w:tcPr>
            <w:tcW w:w="0" w:type="dxa"/>
            <w:vAlign w:val="bottom"/>
          </w:tcPr>
          <w:p>
            <w:pPr>
              <w:spacing w:after="0"/>
              <w:rPr>
                <w:sz w:val="1"/>
                <w:szCs w:val="1"/>
                <w:color w:val="auto"/>
              </w:rPr>
            </w:pPr>
          </w:p>
        </w:tc>
      </w:tr>
      <w:tr>
        <w:trPr>
          <w:trHeight w:val="193"/>
        </w:trPr>
        <w:tc>
          <w:tcPr>
            <w:tcW w:w="63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Cost of product revenue (excluding intangible asset amortization and impairment)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34,906</w:t>
            </w:r>
          </w:p>
        </w:tc>
        <w:tc>
          <w:tcPr>
            <w:tcW w:w="0" w:type="dxa"/>
            <w:vAlign w:val="bottom"/>
          </w:tcPr>
          <w:p>
            <w:pPr>
              <w:spacing w:after="0"/>
              <w:rPr>
                <w:sz w:val="1"/>
                <w:szCs w:val="1"/>
                <w:color w:val="auto"/>
              </w:rPr>
            </w:pPr>
          </w:p>
        </w:tc>
      </w:tr>
      <w:tr>
        <w:trPr>
          <w:trHeight w:val="213"/>
        </w:trPr>
        <w:tc>
          <w:tcPr>
            <w:tcW w:w="6300" w:type="dxa"/>
            <w:vAlign w:val="bottom"/>
            <w:gridSpan w:val="2"/>
          </w:tcPr>
          <w:p>
            <w:pPr>
              <w:ind w:left="22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14,536</w:t>
            </w: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11,720</w:t>
            </w:r>
          </w:p>
        </w:tc>
        <w:tc>
          <w:tcPr>
            <w:tcW w:w="0" w:type="dxa"/>
            <w:vAlign w:val="bottom"/>
          </w:tcPr>
          <w:p>
            <w:pPr>
              <w:spacing w:after="0"/>
              <w:rPr>
                <w:sz w:val="1"/>
                <w:szCs w:val="1"/>
                <w:color w:val="auto"/>
              </w:rPr>
            </w:pPr>
          </w:p>
        </w:tc>
      </w:tr>
      <w:tr>
        <w:trPr>
          <w:trHeight w:val="213"/>
        </w:trPr>
        <w:tc>
          <w:tcPr>
            <w:tcW w:w="6300" w:type="dxa"/>
            <w:vAlign w:val="bottom"/>
            <w:gridSpan w:val="2"/>
          </w:tcPr>
          <w:p>
            <w:pPr>
              <w:ind w:left="22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10,800</w:t>
            </w: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3"/>
        </w:trPr>
        <w:tc>
          <w:tcPr>
            <w:tcW w:w="6300" w:type="dxa"/>
            <w:vAlign w:val="bottom"/>
            <w:gridSpan w:val="2"/>
          </w:tcPr>
          <w:p>
            <w:pPr>
              <w:ind w:left="220"/>
              <w:spacing w:after="0"/>
              <w:rPr>
                <w:sz w:val="20"/>
                <w:szCs w:val="20"/>
                <w:color w:val="auto"/>
              </w:rPr>
            </w:pPr>
            <w:r>
              <w:rPr>
                <w:rFonts w:ascii="Arial" w:cs="Arial" w:eastAsia="Arial" w:hAnsi="Arial"/>
                <w:sz w:val="16"/>
                <w:szCs w:val="16"/>
                <w:color w:val="auto"/>
              </w:rPr>
              <w:t>Impairment of intangible assets</w:t>
            </w:r>
          </w:p>
        </w:tc>
        <w:tc>
          <w:tcPr>
            <w:tcW w:w="1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152,330</w:t>
            </w: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 fair value of anniversary payment and contingent consideration</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0" w:type="dxa"/>
            <w:vAlign w:val="bottom"/>
          </w:tcPr>
          <w:p>
            <w:pPr>
              <w:spacing w:after="0"/>
              <w:rPr>
                <w:sz w:val="1"/>
                <w:szCs w:val="1"/>
                <w:color w:val="auto"/>
              </w:rPr>
            </w:pPr>
          </w:p>
        </w:tc>
      </w:tr>
      <w:tr>
        <w:trPr>
          <w:trHeight w:val="207"/>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24,327</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72,747</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182,488</w:t>
            </w:r>
          </w:p>
        </w:tc>
        <w:tc>
          <w:tcPr>
            <w:tcW w:w="0" w:type="dxa"/>
            <w:vAlign w:val="bottom"/>
          </w:tcPr>
          <w:p>
            <w:pPr>
              <w:spacing w:after="0"/>
              <w:rPr>
                <w:sz w:val="1"/>
                <w:szCs w:val="1"/>
                <w:color w:val="auto"/>
              </w:rPr>
            </w:pPr>
          </w:p>
        </w:tc>
      </w:tr>
      <w:tr>
        <w:trPr>
          <w:trHeight w:val="21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(48,696)</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(16,405)</w:t>
            </w:r>
          </w:p>
        </w:tc>
        <w:tc>
          <w:tcPr>
            <w:tcW w:w="0" w:type="dxa"/>
            <w:vAlign w:val="bottom"/>
          </w:tcPr>
          <w:p>
            <w:pPr>
              <w:spacing w:after="0"/>
              <w:rPr>
                <w:sz w:val="1"/>
                <w:szCs w:val="1"/>
                <w:color w:val="auto"/>
              </w:rPr>
            </w:pPr>
          </w:p>
        </w:tc>
      </w:tr>
      <w:tr>
        <w:trPr>
          <w:trHeight w:val="193"/>
        </w:trPr>
        <w:tc>
          <w:tcPr>
            <w:tcW w:w="6300" w:type="dxa"/>
            <w:vAlign w:val="bottom"/>
            <w:gridSpan w:val="2"/>
          </w:tcPr>
          <w:p>
            <w:pPr>
              <w:ind w:left="20"/>
              <w:spacing w:after="0"/>
              <w:rPr>
                <w:sz w:val="20"/>
                <w:szCs w:val="20"/>
                <w:color w:val="auto"/>
              </w:rPr>
            </w:pPr>
            <w:r>
              <w:rPr>
                <w:rFonts w:ascii="Arial" w:cs="Arial" w:eastAsia="Arial" w:hAnsi="Arial"/>
                <w:sz w:val="16"/>
                <w:szCs w:val="16"/>
                <w:b w:val="1"/>
                <w:bCs w:val="1"/>
                <w:color w:val="auto"/>
              </w:rPr>
              <w:t>Non-operating (expense) income, net</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Equity affiliate - change in fair value</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Loss on classification as held for sale</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non-operating (expense) income, net</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(54,269)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36,402</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Loss from discontinued operations before income taxes</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(57,921)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(16,405)</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(benefit) expense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19,689</w:t>
            </w:r>
          </w:p>
        </w:tc>
        <w:tc>
          <w:tcPr>
            <w:tcW w:w="0" w:type="dxa"/>
            <w:vAlign w:val="bottom"/>
          </w:tcPr>
          <w:p>
            <w:pPr>
              <w:spacing w:after="0"/>
              <w:rPr>
                <w:sz w:val="1"/>
                <w:szCs w:val="1"/>
                <w:color w:val="auto"/>
              </w:rPr>
            </w:pPr>
          </w:p>
        </w:tc>
      </w:tr>
      <w:tr>
        <w:trPr>
          <w:trHeight w:val="213"/>
        </w:trPr>
        <w:tc>
          <w:tcPr>
            <w:tcW w:w="630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 from discontinued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(34,915)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(13,597)</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(36,094)</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carrying amounts of the major classes of assets reported as “Assets held for sale” on the Company’s Consolidated Balance Sheet consisted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December 31, 2019</w:t>
            </w:r>
          </w:p>
        </w:tc>
      </w:tr>
      <w:tr>
        <w:trPr>
          <w:trHeight w:val="34"/>
        </w:trPr>
        <w:tc>
          <w:tcPr>
            <w:tcW w:w="8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r>
      <w:tr>
        <w:trPr>
          <w:trHeight w:val="23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24,469</w:t>
            </w:r>
          </w:p>
        </w:tc>
      </w:tr>
      <w:tr>
        <w:trPr>
          <w:trHeight w:val="229"/>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6,993</w:t>
            </w:r>
          </w:p>
        </w:tc>
      </w:tr>
      <w:tr>
        <w:trPr>
          <w:trHeight w:val="23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31,712</w:t>
            </w:r>
          </w:p>
        </w:tc>
      </w:tr>
      <w:tr>
        <w:trPr>
          <w:trHeight w:val="230"/>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7,192</w:t>
            </w:r>
          </w:p>
        </w:tc>
      </w:tr>
      <w:tr>
        <w:trPr>
          <w:trHeight w:val="23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29"/>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Royalty rights - at fair value</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266,196</w:t>
            </w:r>
          </w:p>
        </w:tc>
      </w:tr>
      <w:tr>
        <w:trPr>
          <w:trHeight w:val="23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 equity affiliate</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82,267</w:t>
            </w:r>
          </w:p>
        </w:tc>
      </w:tr>
      <w:tr>
        <w:trPr>
          <w:trHeight w:val="230"/>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10,112</w:t>
            </w:r>
          </w:p>
        </w:tc>
      </w:tr>
      <w:tr>
        <w:trPr>
          <w:trHeight w:val="23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w:t>
            </w:r>
          </w:p>
        </w:tc>
      </w:tr>
      <w:tr>
        <w:trPr>
          <w:trHeight w:val="22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Total assets held for sale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447,857</w:t>
            </w: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3" w:name="page64"/>
    <w:bookmarkEnd w:id="63"/>
    <w:p>
      <w:pPr>
        <w:ind w:right="240"/>
        <w:spacing w:after="0" w:line="277" w:lineRule="auto"/>
        <w:rPr>
          <w:sz w:val="20"/>
          <w:szCs w:val="20"/>
          <w:color w:val="auto"/>
        </w:rPr>
      </w:pPr>
      <w:r>
        <w:rPr>
          <w:rFonts w:ascii="Arial" w:cs="Arial" w:eastAsia="Arial" w:hAnsi="Arial"/>
          <w:sz w:val="18"/>
          <w:szCs w:val="18"/>
          <w:color w:val="auto"/>
        </w:rPr>
        <w:t>The carrying amounts of the major classes of liabilities reported as “Liabilities held for sale” on the Company’s Consolidated Balance Sheet consisted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20" w:type="dxa"/>
            <w:vAlign w:val="bottom"/>
          </w:tcPr>
          <w:p>
            <w:pPr>
              <w:spacing w:after="0"/>
              <w:rPr>
                <w:sz w:val="20"/>
                <w:szCs w:val="20"/>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December 31, 2019</w:t>
            </w:r>
          </w:p>
        </w:tc>
      </w:tr>
      <w:tr>
        <w:trPr>
          <w:trHeight w:val="34"/>
        </w:trPr>
        <w:tc>
          <w:tcPr>
            <w:tcW w:w="8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r>
      <w:tr>
        <w:trPr>
          <w:trHeight w:val="230"/>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w:t>
            </w:r>
          </w:p>
        </w:tc>
      </w:tr>
      <w:tr>
        <w:trPr>
          <w:trHeight w:val="229"/>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16,400</w:t>
            </w:r>
          </w:p>
        </w:tc>
      </w:tr>
      <w:tr>
        <w:trPr>
          <w:trHeight w:val="229"/>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Total liabilities held for sale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31,215</w:t>
            </w:r>
          </w:p>
        </w:tc>
      </w:tr>
      <w:tr>
        <w:trPr>
          <w:trHeight w:val="21"/>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Evofem Biosciences, Inc.</w:t>
      </w:r>
    </w:p>
    <w:p>
      <w:pPr>
        <w:spacing w:after="0" w:line="25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On April 10, 2019, the Company entered into a securities purchase agreement with Evofem and two other purchasers, pursuant to which the Company purchased $60.0 million of Evofem securities in a private placement. The transaction was structured in two tranches.</w:t>
      </w:r>
    </w:p>
    <w:p>
      <w:pPr>
        <w:spacing w:after="0" w:line="17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first tranche closed on April 11, 2019, pursuant to which the Company invested $30.0 million to purchase 6,666,667 shares of Evofem common stock at $4.50 per share and was also issued warrants to purchase up to 1,666,667 shares of Evofem common stock. The warrants are exercisable beginning six months after the issuance date for a period of seven years from the issuance date at an exercise price of $6.38 per share.</w:t>
      </w:r>
    </w:p>
    <w:p>
      <w:pPr>
        <w:spacing w:after="0" w:line="19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second tranche closed on June 10, 2019, pursuant to which the Company invested an additional $30.0 million to purchase an additional 6,666,667 shares of Evofem common stock at $4.50 per share and was also issued warrants to purchase up to an additional 1,666,667 shares of Evofem common stock with the same terms as the warrants issued in the first tranche.</w:t>
      </w:r>
    </w:p>
    <w:p>
      <w:pPr>
        <w:spacing w:after="0" w:line="21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On May 21, 2020, the Company announced that, pursuant to its Plan of Liquidation, it had completed a liquidation distribution of all 13,333,334 shares of common stock of Evofem it owned to the Company’s stockholders, which represented approximately 26.7% of the outstanding shares of Evofem common stock as of the close of business on May 15, 2020. The distribution was recorded as a noncash distribution of $64.4 million, reducing retained earnings.</w:t>
      </w:r>
    </w:p>
    <w:p>
      <w:pPr>
        <w:spacing w:after="0" w:line="17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Following the distribution, the Company continues to hold warrants to purchase up to 3,333,334 shares of Evofem common stock. As of December 31, 2020, the Evofem warrants were valued under the Liquidation Basis at $1.8 million and are classified as “Other assets” on the Company’s Consolidated Statement of Net Assets. The Evofem common stock and the Evofem warrants are included in “Long-term assets held for sale” on the Company’s December 31, 2019 Consolidated Balance Sheet. See to Note 3, </w:t>
      </w:r>
      <w:r>
        <w:rPr>
          <w:rFonts w:ascii="Arial" w:cs="Arial" w:eastAsia="Arial" w:hAnsi="Arial"/>
          <w:sz w:val="18"/>
          <w:szCs w:val="18"/>
          <w:i w:val="1"/>
          <w:iCs w:val="1"/>
          <w:color w:val="auto"/>
        </w:rPr>
        <w:t>Net Assets in Liquidation</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Discontinued Operations Classified as Assets Held</w:t>
      </w:r>
      <w:r>
        <w:rPr>
          <w:rFonts w:ascii="Arial" w:cs="Arial" w:eastAsia="Arial" w:hAnsi="Arial"/>
          <w:sz w:val="18"/>
          <w:szCs w:val="18"/>
          <w:color w:val="auto"/>
        </w:rPr>
        <w:t xml:space="preserve"> </w:t>
      </w:r>
      <w:r>
        <w:rPr>
          <w:rFonts w:ascii="Arial" w:cs="Arial" w:eastAsia="Arial" w:hAnsi="Arial"/>
          <w:sz w:val="18"/>
          <w:szCs w:val="18"/>
          <w:i w:val="1"/>
          <w:iCs w:val="1"/>
          <w:color w:val="auto"/>
        </w:rPr>
        <w:t>for Sale</w:t>
      </w:r>
      <w:r>
        <w:rPr>
          <w:rFonts w:ascii="Arial" w:cs="Arial" w:eastAsia="Arial" w:hAnsi="Arial"/>
          <w:sz w:val="18"/>
          <w:szCs w:val="18"/>
          <w:color w:val="auto"/>
        </w:rPr>
        <w:t>, for additional information.</w:t>
      </w:r>
    </w:p>
    <w:p>
      <w:pPr>
        <w:spacing w:after="0" w:line="2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eight months ended August 31, 2020, the Company recorded a loss of $25.4 million on its investment in Evofem included in Loss from discontinued operations before income taxes on the Company’s Consolidated Statement of Operations, of which $17.9 million was related to the realized loss from the change in fair value of the Evofem common stock and $7.5 million was related to the unrealized loss from the change in fair value of the Evofem warrants.</w:t>
      </w:r>
    </w:p>
    <w:p>
      <w:pPr>
        <w:spacing w:after="0" w:line="21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For the year ended December 31, 2019, the Company had an unrealized gain of $36.4 million on its investment in Evofem, of which $31.6 million was related to the change in fair value of the Evofem common stock and $4.8 million was related to the change in fair value of the Evofem warrants.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and Cash Equivalents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2020 and 2019, the Company had invested its excess cash balances primarily in cash and money market funds. The fair values of cash equivalents approximate their carrying values due to the short-term nature of such financial instruments.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The following table summarizes the Company’s cash and cash equivalents by significant investment category reported as cash and cash equivalents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Net Assets and the Consolidated Balance Sheet as of December 31, 2020 and 2019,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w w:val="90"/>
              </w:rPr>
              <w:t>December 31, 2020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89"/>
              </w:rPr>
              <w:t xml:space="preserve">December 31, 2019 </w:t>
            </w:r>
            <w:r>
              <w:rPr>
                <w:rFonts w:ascii="Arial" w:cs="Arial" w:eastAsia="Arial" w:hAnsi="Arial"/>
                <w:sz w:val="21"/>
                <w:szCs w:val="21"/>
                <w:b w:val="1"/>
                <w:bCs w:val="1"/>
                <w:color w:val="auto"/>
                <w:w w:val="89"/>
                <w:vertAlign w:val="superscript"/>
              </w:rPr>
              <w:t>(1) (2)</w:t>
            </w:r>
          </w:p>
        </w:tc>
        <w:tc>
          <w:tcPr>
            <w:tcW w:w="0" w:type="dxa"/>
            <w:vAlign w:val="bottom"/>
          </w:tcPr>
          <w:p>
            <w:pPr>
              <w:spacing w:after="0"/>
              <w:rPr>
                <w:sz w:val="1"/>
                <w:szCs w:val="1"/>
                <w:color w:val="auto"/>
              </w:rPr>
            </w:pPr>
          </w:p>
        </w:tc>
      </w:tr>
      <w:tr>
        <w:trPr>
          <w:trHeight w:val="20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6"/>
                <w:szCs w:val="16"/>
                <w:color w:val="auto"/>
                <w:w w:val="95"/>
              </w:rPr>
              <w:t>(Liquidation Basis)</w:t>
            </w:r>
          </w:p>
        </w:tc>
        <w:tc>
          <w:tcPr>
            <w:tcW w:w="180" w:type="dxa"/>
            <w:vAlign w:val="bottom"/>
          </w:tcPr>
          <w:p>
            <w:pPr>
              <w:spacing w:after="0"/>
              <w:rPr>
                <w:sz w:val="17"/>
                <w:szCs w:val="17"/>
                <w:color w:val="auto"/>
              </w:rPr>
            </w:pPr>
          </w:p>
        </w:tc>
        <w:tc>
          <w:tcPr>
            <w:tcW w:w="1960" w:type="dxa"/>
            <w:vAlign w:val="bottom"/>
          </w:tcPr>
          <w:p>
            <w:pPr>
              <w:jc w:val="right"/>
              <w:ind w:right="234"/>
              <w:spacing w:after="0"/>
              <w:rPr>
                <w:sz w:val="20"/>
                <w:szCs w:val="20"/>
                <w:color w:val="auto"/>
              </w:rPr>
            </w:pPr>
            <w:r>
              <w:rPr>
                <w:rFonts w:ascii="Arial" w:cs="Arial" w:eastAsia="Arial" w:hAnsi="Arial"/>
                <w:sz w:val="16"/>
                <w:szCs w:val="16"/>
                <w:color w:val="auto"/>
              </w:rPr>
              <w:t>(Going Concern Basis)</w:t>
            </w:r>
          </w:p>
        </w:tc>
        <w:tc>
          <w:tcPr>
            <w:tcW w:w="0" w:type="dxa"/>
            <w:vAlign w:val="bottom"/>
          </w:tcPr>
          <w:p>
            <w:pPr>
              <w:spacing w:after="0"/>
              <w:rPr>
                <w:sz w:val="1"/>
                <w:szCs w:val="1"/>
                <w:color w:val="auto"/>
              </w:rPr>
            </w:pPr>
          </w:p>
        </w:tc>
      </w:tr>
      <w:tr>
        <w:trPr>
          <w:trHeight w:val="233"/>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37,718</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131,264</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60" w:hanging="252"/>
        <w:spacing w:after="0" w:line="267" w:lineRule="auto"/>
        <w:tabs>
          <w:tab w:leader="none" w:pos="182"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 xml:space="preserve">The amounts exclude $24.5 million of cash at Noden classified as held for sale as of December 31, 2019. See Note 4, </w:t>
      </w:r>
      <w:r>
        <w:rPr>
          <w:rFonts w:ascii="Arial" w:cs="Arial" w:eastAsia="Arial" w:hAnsi="Arial"/>
          <w:sz w:val="16"/>
          <w:szCs w:val="16"/>
          <w:i w:val="1"/>
          <w:iCs w:val="1"/>
          <w:color w:val="auto"/>
        </w:rPr>
        <w:t>Discontinued Operations Classified</w:t>
      </w:r>
      <w:r>
        <w:rPr>
          <w:rFonts w:ascii="Arial" w:cs="Arial" w:eastAsia="Arial" w:hAnsi="Arial"/>
          <w:sz w:val="16"/>
          <w:szCs w:val="16"/>
          <w:color w:val="auto"/>
        </w:rPr>
        <w:t xml:space="preserve"> </w:t>
      </w:r>
      <w:r>
        <w:rPr>
          <w:rFonts w:ascii="Arial" w:cs="Arial" w:eastAsia="Arial" w:hAnsi="Arial"/>
          <w:sz w:val="16"/>
          <w:szCs w:val="16"/>
          <w:i w:val="1"/>
          <w:iCs w:val="1"/>
          <w:color w:val="auto"/>
        </w:rPr>
        <w:t>as Assets Held for Sale</w:t>
      </w:r>
      <w:r>
        <w:rPr>
          <w:rFonts w:ascii="Arial" w:cs="Arial" w:eastAsia="Arial" w:hAnsi="Arial"/>
          <w:sz w:val="16"/>
          <w:szCs w:val="16"/>
          <w:color w:val="auto"/>
        </w:rPr>
        <w:t>, for additional information.</w:t>
      </w:r>
    </w:p>
    <w:p>
      <w:pPr>
        <w:spacing w:after="0" w:line="1"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The table above includes amounts held by LENSAR as of December 31, 2019. LENSAR was spun-off on October 1, 2020.</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recognized approximately $0.8 million of gains on sales of available-for-sale securities in the year ended December 31, 2018. As of December 31, 2020 and 2019, the Company did not have any available-for-sale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under the Going Concern Basis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99"/>
              </w:rPr>
              <w:t>December 31, 2019</w:t>
            </w:r>
          </w:p>
        </w:tc>
      </w:tr>
      <w:tr>
        <w:trPr>
          <w:trHeight w:val="226"/>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r>
      <w:tr>
        <w:trPr>
          <w:trHeight w:val="230"/>
        </w:trPr>
        <w:tc>
          <w:tcPr>
            <w:tcW w:w="910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9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r>
      <w:tr>
        <w:trPr>
          <w:trHeight w:val="223"/>
        </w:trPr>
        <w:tc>
          <w:tcPr>
            <w:tcW w:w="9100" w:type="dxa"/>
            <w:vAlign w:val="bottom"/>
            <w:gridSpan w:val="2"/>
          </w:tcPr>
          <w:p>
            <w:pPr>
              <w:ind w:left="220"/>
              <w:spacing w:after="0" w:line="223" w:lineRule="exact"/>
              <w:rPr>
                <w:sz w:val="20"/>
                <w:szCs w:val="20"/>
                <w:color w:val="auto"/>
              </w:rPr>
            </w:pPr>
            <w:r>
              <w:rPr>
                <w:rFonts w:ascii="Arial" w:cs="Arial" w:eastAsia="Arial" w:hAnsi="Arial"/>
                <w:sz w:val="18"/>
                <w:szCs w:val="18"/>
                <w:color w:val="auto"/>
              </w:rPr>
              <w:t xml:space="preserve">Total inventories </w:t>
            </w:r>
            <w:r>
              <w:rPr>
                <w:rFonts w:ascii="Arial" w:cs="Arial" w:eastAsia="Arial" w:hAnsi="Arial"/>
                <w:sz w:val="23"/>
                <w:szCs w:val="23"/>
                <w:color w:val="auto"/>
                <w:vertAlign w:val="superscript"/>
              </w:rPr>
              <w:t>(1) (2)</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8,061</w:t>
            </w: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260" w:right="400" w:hanging="252"/>
        <w:spacing w:after="0" w:line="267" w:lineRule="auto"/>
        <w:tabs>
          <w:tab w:leader="none" w:pos="182"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 xml:space="preserve">The amounts exclude $31.7 million of inventory at Noden classified as held for sale as of December 31, 2019. See Note 4,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Classified as Assets Held for Sale</w:t>
      </w:r>
      <w:r>
        <w:rPr>
          <w:rFonts w:ascii="Arial" w:cs="Arial" w:eastAsia="Arial" w:hAnsi="Arial"/>
          <w:sz w:val="16"/>
          <w:szCs w:val="16"/>
          <w:color w:val="auto"/>
        </w:rPr>
        <w:t>, for additional information. Noden was sold in September 2020.</w:t>
      </w:r>
    </w:p>
    <w:p>
      <w:pPr>
        <w:spacing w:after="0" w:line="1"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The table above includes amounts held by LENSAR as of December 31, 2019. LENSAR was spun-off on October 1, 2020.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fair value of the Company’s financial instruments under the Going Concern Basis are estimates of the amounts that would be received if the Company were to sell an asset or pay to transfer a liability (exit price) in an orderly transaction between market participants at the measurement date. The assets and liabilities are categorized and disclosed in one of the following three categories: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based on quoted market prices in active markets for identical assets and liabilities;</w:t>
      </w:r>
    </w:p>
    <w:p>
      <w:pPr>
        <w:spacing w:after="0" w:line="252" w:lineRule="exact"/>
        <w:rPr>
          <w:sz w:val="20"/>
          <w:szCs w:val="20"/>
          <w:color w:val="auto"/>
        </w:rPr>
      </w:pPr>
    </w:p>
    <w:p>
      <w:pPr>
        <w:ind w:left="660" w:right="300"/>
        <w:spacing w:after="0" w:line="263" w:lineRule="auto"/>
        <w:rPr>
          <w:sz w:val="20"/>
          <w:szCs w:val="20"/>
          <w:color w:val="auto"/>
        </w:rPr>
      </w:pPr>
      <w:r>
        <w:rPr>
          <w:rFonts w:ascii="Arial" w:cs="Arial" w:eastAsia="Arial" w:hAnsi="Arial"/>
          <w:sz w:val="18"/>
          <w:szCs w:val="18"/>
          <w:color w:val="auto"/>
        </w:rPr>
        <w:t>Level 2 – based on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based on unobservable inputs using management’s best estimate and assumptions when inputs are unavailable.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auto"/>
        </w:rPr>
        <w:t>Assets/Liabilities Measured and Recorded at Fair Value on a Recurring Basis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fair value of the Company’s financial instruments measured at fair value on a recurring basis by level within the valuation hierarchy under the Going Concern Basis: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Financial assets: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131,264</w:t>
            </w:r>
          </w:p>
        </w:tc>
        <w:tc>
          <w:tcPr>
            <w:tcW w:w="0" w:type="dxa"/>
            <w:vAlign w:val="bottom"/>
          </w:tcPr>
          <w:p>
            <w:pPr>
              <w:spacing w:after="0"/>
              <w:rPr>
                <w:sz w:val="1"/>
                <w:szCs w:val="1"/>
                <w:color w:val="auto"/>
              </w:rPr>
            </w:pPr>
          </w:p>
        </w:tc>
      </w:tr>
      <w:tr>
        <w:trPr>
          <w:trHeight w:val="229"/>
        </w:trPr>
        <w:tc>
          <w:tcPr>
            <w:tcW w:w="64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Corporate securities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82,267</w:t>
            </w:r>
          </w:p>
        </w:tc>
        <w:tc>
          <w:tcPr>
            <w:tcW w:w="0" w:type="dxa"/>
            <w:vAlign w:val="bottom"/>
          </w:tcPr>
          <w:p>
            <w:pPr>
              <w:spacing w:after="0"/>
              <w:rPr>
                <w:sz w:val="1"/>
                <w:szCs w:val="1"/>
                <w:color w:val="auto"/>
              </w:rPr>
            </w:pPr>
          </w:p>
        </w:tc>
      </w:tr>
      <w:tr>
        <w:trPr>
          <w:trHeight w:val="230"/>
        </w:trPr>
        <w:tc>
          <w:tcPr>
            <w:tcW w:w="64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Warrants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0" w:type="dxa"/>
            <w:vAlign w:val="bottom"/>
          </w:tcPr>
          <w:p>
            <w:pPr>
              <w:spacing w:after="0"/>
              <w:rPr>
                <w:sz w:val="1"/>
                <w:szCs w:val="1"/>
                <w:color w:val="auto"/>
              </w:rPr>
            </w:pPr>
          </w:p>
        </w:tc>
      </w:tr>
      <w:tr>
        <w:trPr>
          <w:trHeight w:val="229"/>
        </w:trPr>
        <w:tc>
          <w:tcPr>
            <w:tcW w:w="64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Royalty rights - at fair value </w:t>
            </w:r>
            <w:r>
              <w:rPr>
                <w:rFonts w:ascii="Arial" w:cs="Arial" w:eastAsia="Arial" w:hAnsi="Arial"/>
                <w:sz w:val="23"/>
                <w:szCs w:val="23"/>
                <w:color w:val="auto"/>
                <w:vertAlign w:val="superscript"/>
              </w:rPr>
              <w:t>(3)</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266,196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266,196</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493,879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Corporate securities are classified as “Long-term assets held for sale” on the December 31, 2019 Consolidated Balance Sheet.</w:t>
      </w:r>
    </w:p>
    <w:p>
      <w:pPr>
        <w:spacing w:after="0" w:line="55" w:lineRule="exact"/>
        <w:rPr>
          <w:rFonts w:ascii="Arial" w:cs="Arial" w:eastAsia="Arial" w:hAnsi="Arial"/>
          <w:sz w:val="21"/>
          <w:szCs w:val="21"/>
          <w:color w:val="auto"/>
          <w:vertAlign w:val="superscript"/>
        </w:rPr>
      </w:pPr>
    </w:p>
    <w:p>
      <w:pPr>
        <w:ind w:left="340" w:right="560" w:hanging="332"/>
        <w:spacing w:after="0" w:line="246" w:lineRule="auto"/>
        <w:tabs>
          <w:tab w:leader="none" w:pos="181"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Warrants consist of Evofem warrants, which are classified as “Long-term assets held for sale” and CareView Communications, Inc. (“CareView”) warrants, classified as “Other assets” on the Consolidated Balance Sheet as of December 31, 2019.</w:t>
      </w:r>
    </w:p>
    <w:p>
      <w:pPr>
        <w:ind w:left="360" w:hanging="352"/>
        <w:spacing w:after="0"/>
        <w:tabs>
          <w:tab w:leader="none" w:pos="36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Royalty rights are classified as “Long-term assets held for sale” on the Consolidated Balance Sheet as of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Money Market Funds - </w:t>
      </w:r>
      <w:r>
        <w:rPr>
          <w:rFonts w:ascii="Arial" w:cs="Arial" w:eastAsia="Arial" w:hAnsi="Arial"/>
          <w:sz w:val="16"/>
          <w:szCs w:val="16"/>
          <w:color w:val="auto"/>
        </w:rPr>
        <w:t>The fair values of cash equivalents approximate their carrying values due to the short-term nature of such financial instruments.</w:t>
      </w:r>
    </w:p>
    <w:p>
      <w:pPr>
        <w:spacing w:after="0" w:line="2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Corporate Securities </w:t>
      </w:r>
      <w:r>
        <w:rPr>
          <w:rFonts w:ascii="Arial" w:cs="Arial" w:eastAsia="Arial" w:hAnsi="Arial"/>
          <w:sz w:val="18"/>
          <w:szCs w:val="18"/>
          <w:color w:val="auto"/>
        </w:rPr>
        <w:t>- Corporate securities consisted of common stock shares of Evofem. For additional information, see Note 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Discontinued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Classified as Assets Held for Sale</w:t>
      </w:r>
      <w:r>
        <w:rPr>
          <w:rFonts w:ascii="Arial" w:cs="Arial" w:eastAsia="Arial" w:hAnsi="Arial"/>
          <w:sz w:val="18"/>
          <w:szCs w:val="18"/>
          <w:color w:val="auto"/>
        </w:rPr>
        <w:t>, and Note 5,</w:t>
      </w:r>
      <w:r>
        <w:rPr>
          <w:rFonts w:ascii="Arial" w:cs="Arial" w:eastAsia="Arial" w:hAnsi="Arial"/>
          <w:sz w:val="18"/>
          <w:szCs w:val="18"/>
          <w:i w:val="1"/>
          <w:iCs w:val="1"/>
          <w:color w:val="auto"/>
        </w:rPr>
        <w:t xml:space="preserve"> Investment in Evofem Biosciences, Inc</w:t>
      </w:r>
      <w:r>
        <w:rPr>
          <w:rFonts w:ascii="Arial" w:cs="Arial" w:eastAsia="Arial" w:hAnsi="Arial"/>
          <w:sz w:val="18"/>
          <w:szCs w:val="18"/>
          <w:color w:val="auto"/>
        </w:rPr>
        <w:t>.</w:t>
      </w:r>
    </w:p>
    <w:p>
      <w:pPr>
        <w:spacing w:after="0" w:line="19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 xml:space="preserve">Warrants - </w:t>
      </w:r>
      <w:r>
        <w:rPr>
          <w:rFonts w:ascii="Arial" w:cs="Arial" w:eastAsia="Arial" w:hAnsi="Arial"/>
          <w:sz w:val="18"/>
          <w:szCs w:val="18"/>
          <w:color w:val="auto"/>
        </w:rPr>
        <w:t>Warrants consist of rights to purchase shares of common stock in Evofem and CareView, see Note 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Discontinued Operations Classified as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Assets Held for Sale, </w:t>
      </w:r>
      <w:r>
        <w:rPr>
          <w:rFonts w:ascii="Arial" w:cs="Arial" w:eastAsia="Arial" w:hAnsi="Arial"/>
          <w:sz w:val="18"/>
          <w:szCs w:val="18"/>
          <w:color w:val="auto"/>
        </w:rPr>
        <w:t>Note 5,</w:t>
      </w:r>
      <w:r>
        <w:rPr>
          <w:rFonts w:ascii="Arial" w:cs="Arial" w:eastAsia="Arial" w:hAnsi="Arial"/>
          <w:sz w:val="18"/>
          <w:szCs w:val="18"/>
          <w:i w:val="1"/>
          <w:iCs w:val="1"/>
          <w:color w:val="auto"/>
        </w:rPr>
        <w:t xml:space="preserve"> Investment in Evofem Biosciences, Inc.</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Notes and Other Long-Term Receivables. </w:t>
      </w:r>
      <w:r>
        <w:rPr>
          <w:rFonts w:ascii="Arial" w:cs="Arial" w:eastAsia="Arial" w:hAnsi="Arial"/>
          <w:sz w:val="18"/>
          <w:szCs w:val="18"/>
          <w:color w:val="auto"/>
        </w:rPr>
        <w:t>The fair value of the warrants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recently quoted market prices of the underlying equity security and the Black-Scholes option pricing model and adjusted by an estimated discount to sell.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Rights - At Fair Value</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During the quarter ended March 31, 2020, it was determined that the Company’s royalty rights assets met the criteria as an asset held for sale, see Note 4, </w:t>
      </w:r>
      <w:r>
        <w:rPr>
          <w:rFonts w:ascii="Arial" w:cs="Arial" w:eastAsia="Arial" w:hAnsi="Arial"/>
          <w:sz w:val="18"/>
          <w:szCs w:val="18"/>
          <w:i w:val="1"/>
          <w:iCs w:val="1"/>
          <w:color w:val="auto"/>
        </w:rPr>
        <w:t>Discontinued Operations Classified as Assets Held for Sale</w:t>
      </w:r>
      <w:r>
        <w:rPr>
          <w:rFonts w:ascii="Arial" w:cs="Arial" w:eastAsia="Arial" w:hAnsi="Arial"/>
          <w:sz w:val="18"/>
          <w:szCs w:val="18"/>
          <w:color w:val="auto"/>
        </w:rPr>
        <w:t>. Assets classified as held for sale are reported at the lower of their carrying value 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less costs to sale under the Going Concern Basis. The Company historically accounted for such royalty rights assets at fair value, which, as discussed below, primarily reflected the expected future cash to be received but did not consider the expected costs to sell the assets. The Company’s royalty rights assets are comprised of several separate and distinct royalty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Assertio (Depomed) Royalty Agreement</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October 18, 2013, the Company entered into the Royalty Purchase and Sale Agreement (the “Assertio Royalty Agreement”) with Assertio Therapeutics, Inc. (formerly known as Depomed, Inc.), and Depo DR Sub, LLC (together, “Assertio”), whereby the Company acquired the rights to receive royalties and milestones payable on sales of five Type 2 diabetes products licensed by Assertio in exchange for a $240.5 million cash payment. Total consideration was $241.3 million, which was comprised of the $240.5 million cash payment to Assertio and $0.8 million in transaction costs.</w:t>
      </w:r>
    </w:p>
    <w:p>
      <w:pPr>
        <w:spacing w:after="0" w:line="184"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rights acquired included Assertio’s royalty and milestone payments accruing from and after October 1, 2013: (a) from Santarus, Inc., which was subsequently acquired by Salix Pharmaceuticals, Inc., which itself was acquired by Valeant Pharmaceuticals International, Inc. (“Valeant”), which, in July 2018, changed its name to Bausch Health Companies Inc. (“Bausch Health”) with respect to sales of Glumetza (metformin HCL extended-release tablets) in the United States; (b) from Merck &amp; Co., Inc. with respect to sales of Janumet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XR (sitagliptin and metformin HCL extended-release tablets); (c) from Janssen Pharmaceutica N.V. with respect to potential future development milestones and sales of its approved fixed-dose combination of Invokana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(canagliflozin, a sodium glucose cotransporter 2 (SGLT2) inhibitor) and extended-release metformin tablets, marketed as Invokamet XR</w:t>
      </w:r>
      <w:r>
        <w:rPr>
          <w:rFonts w:ascii="Arial" w:cs="Arial" w:eastAsia="Arial" w:hAnsi="Arial"/>
          <w:sz w:val="22"/>
          <w:szCs w:val="22"/>
          <w:color w:val="auto"/>
          <w:vertAlign w:val="superscript"/>
        </w:rPr>
        <w:t>®</w:t>
      </w:r>
      <w:r>
        <w:rPr>
          <w:rFonts w:ascii="Arial" w:cs="Arial" w:eastAsia="Arial" w:hAnsi="Arial"/>
          <w:sz w:val="17"/>
          <w:szCs w:val="17"/>
          <w:color w:val="auto"/>
        </w:rPr>
        <w:t>; (d) from Boehringer Ingelheim and Eli Lilly (“Lilly”) and Company with respect to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6" w:name="page67"/>
    <w:bookmarkEnd w:id="66"/>
    <w:p>
      <w:pPr>
        <w:ind w:right="60"/>
        <w:spacing w:after="0" w:line="234" w:lineRule="auto"/>
        <w:rPr>
          <w:sz w:val="20"/>
          <w:szCs w:val="20"/>
          <w:color w:val="auto"/>
        </w:rPr>
      </w:pPr>
      <w:r>
        <w:rPr>
          <w:rFonts w:ascii="Arial" w:cs="Arial" w:eastAsia="Arial" w:hAnsi="Arial"/>
          <w:sz w:val="18"/>
          <w:szCs w:val="18"/>
          <w:color w:val="auto"/>
        </w:rPr>
        <w:t>potential future development milestones and sales of the investigational fixed-dose combinations of drugs and extended-release metformin subject to Assertio’s license agreement with Boehringer Ingelheim, including its approved products, Jentadueto XR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Synjardy XR</w:t>
      </w:r>
      <w:r>
        <w:rPr>
          <w:rFonts w:ascii="Arial" w:cs="Arial" w:eastAsia="Arial" w:hAnsi="Arial"/>
          <w:sz w:val="23"/>
          <w:szCs w:val="23"/>
          <w:color w:val="auto"/>
          <w:vertAlign w:val="superscript"/>
        </w:rPr>
        <w:t>®</w:t>
      </w:r>
      <w:r>
        <w:rPr>
          <w:rFonts w:ascii="Arial" w:cs="Arial" w:eastAsia="Arial" w:hAnsi="Arial"/>
          <w:sz w:val="18"/>
          <w:szCs w:val="18"/>
          <w:color w:val="auto"/>
        </w:rPr>
        <w:t>; and (e) from LG Chem, Ltd. and Bausch Health for sales of extended-release metformin tablets in Korea and Canada, respectively.</w:t>
      </w:r>
    </w:p>
    <w:p>
      <w:pPr>
        <w:spacing w:after="0" w:line="230"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Company determined that its royalty purchase interest in Depo DR Sub, LLC represented a variable interest in a variable interest entity. However, the Company did not have the power to direct the activities of Depo DR Sub, LLC that most significantly impact Depo DR Sub, LLC’s economic performance and was not the primary beneficiary of Depo DR Sub, LLC; therefore, Depo DR Sub, LLC was not subject to consolidation by the Company.</w:t>
      </w:r>
    </w:p>
    <w:p>
      <w:pPr>
        <w:spacing w:after="0" w:line="17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August 2, 2018, PDL Investment Holding, LLC (“PDLIH”), a wholly-owned subsidiary of the Company and assignee from the Company under the Assertio Royalty Agreement, entered into an amendment to the Assertio Royalty Agreement with Assertio. Pursuant to the amendment, PDLIH purchased all of Assertio’s remaining interests in royalty and milestone payments payable on sales of Type 2 diabetes products licensed by Assertio for $20.0 million. Prior to the amendment, the Assertio Royalty Agreement provided that the Company would have received all royalty and milestone payments due under license agreements between Assertio and its licensees until the Company received payments equal to two times the cash payment it made to Assertio, or approximately $481.0 million, after which all net payments received by Assertio would have been shared equally between the Company and Assertio. Following the amendment, the Assertio Royalty Agreement provides that the Company will receive all royalty and milestone payments due under the license agreements between Assertio and its licensees. After the amendment, the Company elected to continue to follow the fair value option and carry the financial asset at fair value.</w:t>
      </w:r>
    </w:p>
    <w:p>
      <w:pPr>
        <w:spacing w:after="0" w:line="20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Assertio Royalty Agreement terminates on the third anniversary following the date upon which the later of the following occurs: (a) October 25, 2021, or (b) at such time as no royalty payments remain payable under any license agreement and each of the license agreements has expired by its terms.</w:t>
      </w:r>
    </w:p>
    <w:p>
      <w:pPr>
        <w:spacing w:after="0" w:line="15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December 31, 2018, in conjunction with the amendment described above, the Company was provided the power to direct the activities of Depo DR Sub, LLC and is the primary beneficiary of Depo DR Sub, LLC; therefore, Depo DR Sub, LLC is subject to consolidation by the Company. As of December 31, 2020, Depo DR Sub, LLC did not have any assets or liabilities of value for consolidation with the Company.</w:t>
      </w:r>
    </w:p>
    <w:p>
      <w:pPr>
        <w:spacing w:after="0" w:line="1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financial asset acquired represents a single unit of accounting. Under the Going Concern Basis, this financial asset is classified as a Level 3 asset as of December 31, 2019 within the fair value hierarchy, as the Company’s valuation utilized significant unobservable inputs, including estimates as to the probability and timing of future commercialization for products not yet approved by regulatory agencies outside of the United States. The estimated fair value was determined by using a discounted cash flow analysis related to the expected amount and timing of future cash flows to be generated by each licensed product. The discounted cash flows were based upon expected royalties from sales of licensed products over approximately a nine-year period. Significant judgment is required in selecting appropriate discount rates. The discount rates utilized range from 10% to 24%.</w:t>
      </w:r>
    </w:p>
    <w:p>
      <w:pPr>
        <w:spacing w:after="0" w:line="19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As of December 31, 2020, under the Liquidation Basis, the expected cash realizable value of the Assertio royalty asset was $204.5 million and included in the “Royalty assets” in the Statement of Net Assets in Liquidation. Refer to Note 3, </w:t>
      </w:r>
      <w:r>
        <w:rPr>
          <w:rFonts w:ascii="Arial" w:cs="Arial" w:eastAsia="Arial" w:hAnsi="Arial"/>
          <w:sz w:val="18"/>
          <w:szCs w:val="18"/>
          <w:i w:val="1"/>
          <w:iCs w:val="1"/>
          <w:color w:val="auto"/>
        </w:rPr>
        <w:t>Net Assets in Liquidation</w:t>
      </w:r>
      <w:r>
        <w:rPr>
          <w:rFonts w:ascii="Arial" w:cs="Arial" w:eastAsia="Arial" w:hAnsi="Arial"/>
          <w:sz w:val="18"/>
          <w:szCs w:val="18"/>
          <w:color w:val="auto"/>
        </w:rPr>
        <w:t>, for a discussion of the valuation of Assertio under the Liquidation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Viscogliosi Brothers Royalty Agreement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26, 2014, the Company entered into a Royalty Purchase and Sale Agreement (the “VB Royalty Agreement”) with Viscogliosi Brothers, LLC (“VB”) whereby VB conveyed to the Company the right to receive royalties payable on sales of a spinal implant that received pre-market approval from the FDA held by VB and commercialized by Paradigm Spine, LLC (“Paradigm Spine”) in exchange for a $15.5 million cash payment, less fees. Paradigm Spine was acquired in March 2019 by RTI Surgical Holdings, Inc.</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royalty rights acquired included royalties accruing from and after April 1, 2014. Under the terms of the VB Royalty Agreement, the Company was eligible to receive all royalty payments due to VB pursuant to certain technology transfer agreements between VB and Paradigm Spine until the Company received payments equal to 2.3 times the cash payment made to VB, after which all rights to receive royalties would be returned to VB. VB’s ability to repurchase the royalty right for a specified amount expired on June 26, 2018.</w:t>
      </w:r>
    </w:p>
    <w:p>
      <w:pPr>
        <w:spacing w:after="0" w:line="21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August 2020, the Company sold the royalty rights to a third-party for $4.2 million. No gain or loss was recognized on the date of sale due to an adjustment to the royalty rights fair value in the prior quarter that was informed by bids received.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University of Michigan Royalty Agreement</w:t>
      </w:r>
    </w:p>
    <w:p>
      <w:pPr>
        <w:spacing w:after="0" w:line="24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On November 6, 2014, the Company acquired a portion of all royalty payments of the U-M worldwide royalty interest in Cerdelga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(eliglustat) for $65.6 million pursuant to the Royalty Purchase and Sale Agreement with U-M (the “U-M Royalty Agreement”). Under the terms of the U-M Royalty Agreement, the Company receives 75% of all royalty payments due under the U-M license agreement with Genzyme Corporation, a Sanofi company (“Genzyme”) until expiration of the licensed patents, excluding any patent term extension. Cerdelga, an oral therapy for adult patients with Gaucher disease type 1, was developed by Genzyme. Cerdelga was approved in the United States in August 2014, in the European Union (“EU”) in January 2015, and in Japan in March 2015. In addition, marketing applications for Cerdelga are under review by other regulatory authorities. While marketing applications have been approved in the United States, the EU and Japan, national pricing and reimbursement decisions are delayed in some countries.</w:t>
      </w:r>
    </w:p>
    <w:p>
      <w:pPr>
        <w:spacing w:after="0" w:line="19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estimated fair value of the royalty right at December 31, 2019, was determined by using a discounted cash flow analysis related to the expected future cash flows to be received. Under the Going Concern Basis, this asset was classified as a Level 3 asset as the Company’s valuation utilized significant unobservable inputs, including estimates as to the probability and timing of future sales of the licensed product. The estimated fair value of the financial asset acquired was determined by using a discounted cash flow analysis related to the expected amount and timing of future cash flows. The discounted cash flow was based upon expected royalties from sales of licensed product over approximately a three-year period. Significant judgment is required in selecting the appropriate discount rate. The discount rate utilized was approximately 12.8%.</w:t>
      </w:r>
    </w:p>
    <w:p>
      <w:pPr>
        <w:spacing w:after="0" w:line="20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As of December 31, 2020, under the Liquidation Basis, the expected cash realizable value of the Cerdelga royalty asset was $15.5 million and included in the “Royalty assets” in the Statement of Net Assets in Liquidation. Refer to Note 3, </w:t>
      </w:r>
      <w:r>
        <w:rPr>
          <w:rFonts w:ascii="Arial" w:cs="Arial" w:eastAsia="Arial" w:hAnsi="Arial"/>
          <w:sz w:val="18"/>
          <w:szCs w:val="18"/>
          <w:i w:val="1"/>
          <w:iCs w:val="1"/>
          <w:color w:val="auto"/>
        </w:rPr>
        <w:t>Net Assets in Liquidation</w:t>
      </w:r>
      <w:r>
        <w:rPr>
          <w:rFonts w:ascii="Arial" w:cs="Arial" w:eastAsia="Arial" w:hAnsi="Arial"/>
          <w:sz w:val="18"/>
          <w:szCs w:val="18"/>
          <w:color w:val="auto"/>
        </w:rPr>
        <w:t>, for a discussion of the valuation of the U-M Royalty Agreement under the Liquidation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AcelRx Royalty Agreement</w:t>
      </w:r>
    </w:p>
    <w:p>
      <w:pPr>
        <w:spacing w:after="0" w:line="25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September 18, 2015, the Company entered into a royalty interest assignment agreement (the “AcelRx Royalty Agreement”) with ARPI LLC, a wholly-owned subsidiary of AcelRx Pharmaceuticals, Inc. (“AcelRx”), whereby the Company acquired the rights to receive a portion of the royalties and certain milestone payments on sales of Zalviso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(sufentanil sublingual tablet system) in the EU, Switzerland and Australia by AcelRx’s commercial partner, Grünenthal, in exchange for a $65.0 million cash payment. Under the terms of the AcelRx Royalty Agreement, the Company was eligible to receive 75% of all royalty payments and 80% of the first four commercial milestone payments due under AcelRx’s license agreement with Grünenthal until the earlier to occur of (i) receipt by the Company of payments equal to three times the cash payments made to AcelRx and (ii) the expiration of the licensed patents. Zalviso received marketing approval by the European Commission in September 2015. Grünenthal launched Zalviso in the second quarter of 2016 and the Company started to receive royalties in the third quarter of 2016. On May 15, 2020, AcelRx received notice that the product marketer of Zalviso, Grünenthal GmbH, would exercise its right to terminate the license agreement with AcelRx, effective as of 180 days from the date of the notice. AcelRx is obligated to use commercially reasonable efforts to find a new license agreement under the terms no less favorable than those in the license with Grünenthal.</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August 2020, the Company sold the asset to a third-party for zero consideration. No gain or loss was recognized on the date of sale, due to an adjustment to the royalty rights fair value in the prior quarter that resulted from the notification that the license agreement was terminated by the marketer of the product.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Kybella Royalty Agreement</w:t>
      </w:r>
    </w:p>
    <w:p>
      <w:pPr>
        <w:spacing w:after="0" w:line="252" w:lineRule="exact"/>
        <w:rPr>
          <w:sz w:val="20"/>
          <w:szCs w:val="20"/>
          <w:color w:val="auto"/>
        </w:rPr>
      </w:pPr>
    </w:p>
    <w:p>
      <w:pPr>
        <w:jc w:val="both"/>
        <w:ind w:right="320"/>
        <w:spacing w:after="0" w:line="281" w:lineRule="auto"/>
        <w:rPr>
          <w:sz w:val="20"/>
          <w:szCs w:val="20"/>
          <w:color w:val="auto"/>
        </w:rPr>
      </w:pPr>
      <w:r>
        <w:rPr>
          <w:rFonts w:ascii="Arial" w:cs="Arial" w:eastAsia="Arial" w:hAnsi="Arial"/>
          <w:sz w:val="16"/>
          <w:szCs w:val="16"/>
          <w:color w:val="auto"/>
        </w:rPr>
        <w:t>On July 8, 2016, the Company entered into a royalty purchase and sales agreement with an individual, whereby the Company acquired that individual’s rights to receive certain royalties on sales of KYBELLA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by Allergan plc in exchange for a $9.5 million cash payment and up to $1.0 million in future milestone payments based upon product sales targets. The Company started to receive royalty payments during the third quarter of 2016.</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August 2020, the Company sold the asset to a third-party for $0.2 million. No gain or loss was recognized on the date of sale, due to an adjustment to the royalty rights fair value in the prior quarter that was informed by bids received.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The following tables summarize the changes in Level 3 Royalty Right Assets and the gains and losses included in earnings for the eight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2020 under the Going Concern Basis:</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Fair Value Measurements Using Significant Unobservable Inputs (Level 3) - Royalty Right Assets</w:t>
      </w:r>
    </w:p>
    <w:p>
      <w:pPr>
        <w:spacing w:after="0" w:line="7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Royalty Rights</w:t>
            </w:r>
          </w:p>
        </w:tc>
      </w:tr>
      <w:tr>
        <w:trPr>
          <w:trHeight w:val="229"/>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 At Fair Value</w:t>
            </w:r>
          </w:p>
        </w:tc>
      </w:tr>
      <w:tr>
        <w:trPr>
          <w:trHeight w:val="25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2019</w:t>
            </w:r>
          </w:p>
        </w:tc>
        <w:tc>
          <w:tcPr>
            <w:tcW w:w="124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266,196</w:t>
            </w:r>
          </w:p>
        </w:tc>
      </w:tr>
      <w:tr>
        <w:trPr>
          <w:trHeight w:val="270"/>
        </w:trPr>
        <w:tc>
          <w:tcPr>
            <w:tcW w:w="7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net change in fair value for the period</w:t>
            </w: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70"/>
        </w:trPr>
        <w:tc>
          <w:tcPr>
            <w:tcW w:w="7320" w:type="dxa"/>
            <w:vAlign w:val="bottom"/>
            <w:gridSpan w:val="2"/>
          </w:tcPr>
          <w:p>
            <w:pPr>
              <w:ind w:left="1020"/>
              <w:spacing w:after="0"/>
              <w:rPr>
                <w:sz w:val="20"/>
                <w:szCs w:val="20"/>
                <w:color w:val="auto"/>
              </w:rPr>
            </w:pPr>
            <w:r>
              <w:rPr>
                <w:rFonts w:ascii="Arial" w:cs="Arial" w:eastAsia="Arial" w:hAnsi="Arial"/>
                <w:sz w:val="18"/>
                <w:szCs w:val="18"/>
                <w:color w:val="auto"/>
              </w:rPr>
              <w:t>Change in fair value of royalty rights - at fair value</w:t>
            </w:r>
          </w:p>
        </w:tc>
        <w:tc>
          <w:tcPr>
            <w:tcW w:w="960" w:type="dxa"/>
            <w:vAlign w:val="bottom"/>
          </w:tcPr>
          <w:p>
            <w:pPr>
              <w:jc w:val="right"/>
              <w:spacing w:after="0"/>
              <w:rPr>
                <w:sz w:val="20"/>
                <w:szCs w:val="20"/>
                <w:color w:val="auto"/>
              </w:rPr>
            </w:pPr>
            <w:r>
              <w:rPr>
                <w:rFonts w:ascii="Arial" w:cs="Arial" w:eastAsia="Arial" w:hAnsi="Arial"/>
                <w:sz w:val="18"/>
                <w:szCs w:val="18"/>
                <w:color w:val="auto"/>
              </w:rPr>
              <w:t>(8,804)</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3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Cash received from royalty rights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(35,129)</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50"/>
        </w:trPr>
        <w:tc>
          <w:tcPr>
            <w:tcW w:w="7320" w:type="dxa"/>
            <w:vAlign w:val="bottom"/>
            <w:gridSpan w:val="2"/>
          </w:tcPr>
          <w:p>
            <w:pPr>
              <w:ind w:left="1500"/>
              <w:spacing w:after="0"/>
              <w:rPr>
                <w:sz w:val="20"/>
                <w:szCs w:val="20"/>
                <w:color w:val="auto"/>
              </w:rPr>
            </w:pPr>
            <w:r>
              <w:rPr>
                <w:rFonts w:ascii="Arial" w:cs="Arial" w:eastAsia="Arial" w:hAnsi="Arial"/>
                <w:sz w:val="18"/>
                <w:szCs w:val="18"/>
                <w:color w:val="auto"/>
              </w:rPr>
              <w:t>Total net change in fair value for the period</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(43,933)</w:t>
            </w:r>
          </w:p>
        </w:tc>
      </w:tr>
      <w:tr>
        <w:trPr>
          <w:trHeight w:val="270"/>
        </w:trPr>
        <w:tc>
          <w:tcPr>
            <w:tcW w:w="7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Sale of royalty rights</w:t>
            </w: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r>
      <w:tr>
        <w:trPr>
          <w:trHeight w:val="270"/>
        </w:trPr>
        <w:tc>
          <w:tcPr>
            <w:tcW w:w="71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r>
      <w:tr>
        <w:trPr>
          <w:trHeight w:val="248"/>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as of August 31, 2020</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217,913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does not include the aggregate remaining estimated cost to sell the royalty right assets of $4.6 million.</w:t>
      </w:r>
    </w:p>
    <w:p>
      <w:pPr>
        <w:spacing w:after="0" w:line="167"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7640" w:type="dxa"/>
            <w:vAlign w:val="bottom"/>
            <w:gridSpan w:val="11"/>
          </w:tcPr>
          <w:p>
            <w:pPr>
              <w:ind w:left="20"/>
              <w:spacing w:after="0"/>
              <w:rPr>
                <w:sz w:val="20"/>
                <w:szCs w:val="20"/>
                <w:color w:val="auto"/>
              </w:rPr>
            </w:pPr>
            <w:r>
              <w:rPr>
                <w:rFonts w:ascii="Arial" w:cs="Arial" w:eastAsia="Arial" w:hAnsi="Arial"/>
                <w:sz w:val="18"/>
                <w:szCs w:val="18"/>
                <w:b w:val="1"/>
                <w:bCs w:val="1"/>
                <w:color w:val="auto"/>
                <w:w w:val="91"/>
              </w:rPr>
              <w:t>Fair Value Measurements Using Significant Unobservable Inputs (Level 3) - Royalty Right Assets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7"/>
        </w:trPr>
        <w:tc>
          <w:tcPr>
            <w:tcW w:w="1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 as of</w:t>
            </w:r>
          </w:p>
        </w:tc>
        <w:tc>
          <w:tcPr>
            <w:tcW w:w="140" w:type="dxa"/>
            <w:vAlign w:val="bottom"/>
          </w:tcPr>
          <w:p>
            <w:pPr>
              <w:spacing w:after="0"/>
              <w:rPr>
                <w:sz w:val="22"/>
                <w:szCs w:val="22"/>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Sale of</w:t>
            </w:r>
          </w:p>
        </w:tc>
        <w:tc>
          <w:tcPr>
            <w:tcW w:w="160" w:type="dxa"/>
            <w:vAlign w:val="bottom"/>
          </w:tcPr>
          <w:p>
            <w:pPr>
              <w:spacing w:after="0"/>
              <w:rPr>
                <w:sz w:val="22"/>
                <w:szCs w:val="22"/>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Royalty Rights -</w:t>
            </w:r>
          </w:p>
        </w:tc>
        <w:tc>
          <w:tcPr>
            <w:tcW w:w="120" w:type="dxa"/>
            <w:vAlign w:val="bottom"/>
          </w:tcPr>
          <w:p>
            <w:pPr>
              <w:spacing w:after="0"/>
              <w:rPr>
                <w:sz w:val="22"/>
                <w:szCs w:val="22"/>
                <w:color w:val="auto"/>
              </w:rPr>
            </w:pPr>
          </w:p>
        </w:tc>
        <w:tc>
          <w:tcPr>
            <w:tcW w:w="1620" w:type="dxa"/>
            <w:vAlign w:val="bottom"/>
          </w:tcPr>
          <w:p>
            <w:pPr>
              <w:jc w:val="right"/>
              <w:ind w:right="197"/>
              <w:spacing w:after="0"/>
              <w:rPr>
                <w:sz w:val="20"/>
                <w:szCs w:val="20"/>
                <w:color w:val="auto"/>
              </w:rPr>
            </w:pPr>
            <w:r>
              <w:rPr>
                <w:rFonts w:ascii="Arial" w:cs="Arial" w:eastAsia="Arial" w:hAnsi="Arial"/>
                <w:sz w:val="18"/>
                <w:szCs w:val="18"/>
                <w:b w:val="1"/>
                <w:bCs w:val="1"/>
                <w:color w:val="auto"/>
                <w:w w:val="99"/>
              </w:rPr>
              <w:t>Fair Value as of</w:t>
            </w:r>
          </w:p>
        </w:tc>
      </w:tr>
      <w:tr>
        <w:trPr>
          <w:trHeight w:val="256"/>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0"/>
              </w:rPr>
              <w:t>December 31, 2019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57"/>
              <w:spacing w:after="0" w:line="256" w:lineRule="exact"/>
              <w:rPr>
                <w:sz w:val="20"/>
                <w:szCs w:val="20"/>
                <w:color w:val="auto"/>
              </w:rPr>
            </w:pPr>
            <w:r>
              <w:rPr>
                <w:rFonts w:ascii="Arial" w:cs="Arial" w:eastAsia="Arial" w:hAnsi="Arial"/>
                <w:sz w:val="18"/>
                <w:szCs w:val="18"/>
                <w:b w:val="1"/>
                <w:bCs w:val="1"/>
                <w:color w:val="auto"/>
                <w:w w:val="88"/>
              </w:rPr>
              <w:t xml:space="preserve">Royalty Rights </w:t>
            </w:r>
            <w:r>
              <w:rPr>
                <w:rFonts w:ascii="Arial" w:cs="Arial" w:eastAsia="Arial" w:hAnsi="Arial"/>
                <w:sz w:val="23"/>
                <w:szCs w:val="23"/>
                <w:b w:val="1"/>
                <w:bCs w:val="1"/>
                <w:color w:val="auto"/>
                <w:w w:val="88"/>
                <w:vertAlign w:val="superscript"/>
              </w:rPr>
              <w:t>(1)</w:t>
            </w:r>
          </w:p>
        </w:tc>
        <w:tc>
          <w:tcPr>
            <w:tcW w:w="14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Change in Fair Value</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97"/>
              <w:spacing w:after="0" w:line="256" w:lineRule="exact"/>
              <w:rPr>
                <w:sz w:val="20"/>
                <w:szCs w:val="20"/>
                <w:color w:val="auto"/>
              </w:rPr>
            </w:pPr>
            <w:r>
              <w:rPr>
                <w:rFonts w:ascii="Arial" w:cs="Arial" w:eastAsia="Arial" w:hAnsi="Arial"/>
                <w:sz w:val="18"/>
                <w:szCs w:val="18"/>
                <w:b w:val="1"/>
                <w:bCs w:val="1"/>
                <w:color w:val="auto"/>
                <w:w w:val="88"/>
              </w:rPr>
              <w:t xml:space="preserve">August 31, 2020 </w:t>
            </w:r>
            <w:r>
              <w:rPr>
                <w:rFonts w:ascii="Arial" w:cs="Arial" w:eastAsia="Arial" w:hAnsi="Arial"/>
                <w:sz w:val="23"/>
                <w:szCs w:val="23"/>
                <w:b w:val="1"/>
                <w:bCs w:val="1"/>
                <w:color w:val="auto"/>
                <w:w w:val="88"/>
                <w:vertAlign w:val="superscript"/>
              </w:rPr>
              <w:t>(2)</w:t>
            </w:r>
          </w:p>
        </w:tc>
      </w:tr>
      <w:tr>
        <w:trPr>
          <w:trHeight w:val="237"/>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Assertio</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218,672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200,463</w:t>
            </w:r>
          </w:p>
        </w:tc>
      </w:tr>
      <w:tr>
        <w:trPr>
          <w:trHeight w:val="253"/>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VB</w:t>
            </w:r>
          </w:p>
        </w:tc>
        <w:tc>
          <w:tcPr>
            <w:tcW w:w="1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13,590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(4,182)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(9,408)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U-M</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17,450</w:t>
            </w:r>
          </w:p>
        </w:tc>
      </w:tr>
      <w:tr>
        <w:trPr>
          <w:trHeight w:val="254"/>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AcelRx</w:t>
            </w:r>
          </w:p>
        </w:tc>
        <w:tc>
          <w:tcPr>
            <w:tcW w:w="1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12,952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ind w:left="1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(12,952)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KYBELLA</w:t>
            </w:r>
          </w:p>
        </w:tc>
        <w:tc>
          <w:tcPr>
            <w:tcW w:w="1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266,196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(43,933)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217,913</w:t>
            </w:r>
          </w:p>
        </w:tc>
      </w:tr>
      <w:tr>
        <w:trPr>
          <w:trHeight w:val="23"/>
        </w:trPr>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2"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In August 2020 the Company sold the royalty rights to VB, AcelRx, and KYBELLA to a third-party.</w:t>
      </w:r>
    </w:p>
    <w:p>
      <w:pPr>
        <w:spacing w:after="0" w:line="55"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Excludes the aggregate remaining estimated costs to sell of $4.6 million.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Gains and losses from changes in Level 3 assets are included in earnings under the Going Concern Basis and are presented as “Royalty rights - change in fair value” as follows:</w:t>
      </w:r>
    </w:p>
    <w:p>
      <w:pPr>
        <w:spacing w:after="0" w:line="5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Eight Months</w:t>
            </w:r>
          </w:p>
        </w:tc>
        <w:tc>
          <w:tcPr>
            <w:tcW w:w="20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Ended August 31,</w:t>
            </w:r>
          </w:p>
        </w:tc>
        <w:tc>
          <w:tcPr>
            <w:tcW w:w="200" w:type="dxa"/>
            <w:vAlign w:val="bottom"/>
          </w:tcPr>
          <w:p>
            <w:pPr>
              <w:spacing w:after="0"/>
              <w:rPr>
                <w:sz w:val="19"/>
                <w:szCs w:val="19"/>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50"/>
        </w:trPr>
        <w:tc>
          <w:tcPr>
            <w:tcW w:w="59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50"/>
        </w:trPr>
        <w:tc>
          <w:tcPr>
            <w:tcW w:w="5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8"/>
              </w:rPr>
              <w:t>Total change in fair value for the period included in earnings for royalty right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4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(31,042)</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 held at the end of the reporting period</w:t>
            </w:r>
          </w:p>
        </w:tc>
        <w:tc>
          <w:tcPr>
            <w:tcW w:w="12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Assets/Liabilities Measured and Recorded at Fair Value on a Nonrecurring Basis</w:t>
      </w:r>
    </w:p>
    <w:p>
      <w:pPr>
        <w:spacing w:after="0" w:line="25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remeasures the fair value of certain assets and liabilities upon the occurrence of certain events. Such assets consist of long-lived assets, including property and equipment and intangible assets and the shares of AEON common stock, received in connection with the loans made to LENSAR by the Company prior to its acquisition of LENSAR.</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carrying value of the 1.7 million shares of AEON common stock as of December 31, 2019 under the Going Concern Basis was $6.6 million based on an estimated per share value of $3.84, which was established by a valuation performed when the shares were acquired. The value of the Company’s investment in AEON is not readily determinable as AEON’s shares are not publicly traded. Under the Going Concern Basis, the Company evaluated the fair value of this investment by performing a qualitative assessment each reporting period. If the results of this qualitative assessment indicate that the fair value was less than</w:t>
      </w:r>
    </w:p>
    <w:p>
      <w:pPr>
        <w:sectPr>
          <w:pgSz w:w="11900" w:h="16838" w:orient="portrait"/>
          <w:cols w:equalWidth="0" w:num="1">
            <w:col w:w="11220"/>
          </w:cols>
          <w:pgMar w:left="320" w:top="1178" w:right="3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type w:val="continuous"/>
        </w:sectPr>
      </w:pPr>
    </w:p>
    <w:bookmarkStart w:id="69" w:name="page70"/>
    <w:bookmarkEnd w:id="69"/>
    <w:p>
      <w:pPr>
        <w:ind w:right="100"/>
        <w:spacing w:after="0" w:line="291" w:lineRule="auto"/>
        <w:rPr>
          <w:sz w:val="20"/>
          <w:szCs w:val="20"/>
          <w:color w:val="auto"/>
        </w:rPr>
      </w:pPr>
      <w:r>
        <w:rPr>
          <w:rFonts w:ascii="Arial" w:cs="Arial" w:eastAsia="Arial" w:hAnsi="Arial"/>
          <w:sz w:val="16"/>
          <w:szCs w:val="16"/>
          <w:color w:val="auto"/>
        </w:rPr>
        <w:t xml:space="preserve">the carrying value, the investment is written down to its fair value. Based on additional financial information received from AEON, the Company performed an analysis on August 31, 2020 and concluded the investment was impaired and wrote it down to $1.0 million. The loss is reported as Loss on investment on the Company’s Consolidated Statement of Operations for the eight months ended August 31, 2020. This investment is included in Other Assets on the Company’s Consolidated Statement of Net Assets as of September 30, 2020 and as Other long-term assets on the December 31, 2019 Consolidated Balance Sheet. For additional information on the AEON investment, see Note 9, </w:t>
      </w:r>
      <w:r>
        <w:rPr>
          <w:rFonts w:ascii="Arial" w:cs="Arial" w:eastAsia="Arial" w:hAnsi="Arial"/>
          <w:sz w:val="16"/>
          <w:szCs w:val="16"/>
          <w:i w:val="1"/>
          <w:iCs w:val="1"/>
          <w:color w:val="auto"/>
        </w:rPr>
        <w:t>Notes and Other Long-Term Receivables</w:t>
      </w:r>
      <w:r>
        <w:rPr>
          <w:rFonts w:ascii="Arial" w:cs="Arial" w:eastAsia="Arial" w:hAnsi="Arial"/>
          <w:sz w:val="16"/>
          <w:szCs w:val="16"/>
          <w:color w:val="auto"/>
        </w:rPr>
        <w:t xml:space="preserve">. As of December 31, 2020, under the Liquidation Basis, the expected cash realizable value of the AEON asset was $1.0 million and included in “Other assets” on the Statement of Net Assets in Liquidation. Refer to Note 3, </w:t>
      </w:r>
      <w:r>
        <w:rPr>
          <w:rFonts w:ascii="Arial" w:cs="Arial" w:eastAsia="Arial" w:hAnsi="Arial"/>
          <w:sz w:val="16"/>
          <w:szCs w:val="16"/>
          <w:i w:val="1"/>
          <w:iCs w:val="1"/>
          <w:color w:val="auto"/>
        </w:rPr>
        <w:t>Net Assets in Liquidation</w:t>
      </w:r>
      <w:r>
        <w:rPr>
          <w:rFonts w:ascii="Arial" w:cs="Arial" w:eastAsia="Arial" w:hAnsi="Arial"/>
          <w:sz w:val="16"/>
          <w:szCs w:val="16"/>
          <w:color w:val="auto"/>
        </w:rPr>
        <w:t>, for a discussion of the valuation of AEON under the Liquidation Basis.</w:t>
      </w:r>
    </w:p>
    <w:p>
      <w:pPr>
        <w:spacing w:after="0" w:line="193"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 xml:space="preserve">During the quarter ended March 31, 2020, it was determined that Noden met the criteria as an asset held for sale. As a result of the Company’s analysis of the fair value of Noden, the Company recorded a loss on classification as held for sale of $6.7 million during the quarter ended March 31, 2020 of which $1.8 million related to the estimated costs to sell Noden and $4.9 million related to the difference in carrying value versus fair value. The fair value calculation was made using a discounted cash flow model, utilizing a discount rate of approximately 19%, and included level 3 inputs. During the quarter ended June 30, 2020, the Company recorded an additional loss of $16.8 million related primarily to the difference in carrying value and fair value. The reduction in fair value reflected lower estimated sales proceeds as informed by the Company’s sales process. At June 30, 2020, the fair value calculation was made using a discounted cash flow model, utilizing a discount rate of approximately 17%, and included level 3 inputs. For information on the sale of the business in September 2020, see Note 4, </w:t>
      </w:r>
      <w:r>
        <w:rPr>
          <w:rFonts w:ascii="Arial" w:cs="Arial" w:eastAsia="Arial" w:hAnsi="Arial"/>
          <w:sz w:val="16"/>
          <w:szCs w:val="16"/>
          <w:i w:val="1"/>
          <w:iCs w:val="1"/>
          <w:color w:val="auto"/>
        </w:rPr>
        <w:t>Discontinued Operations Classified as Assets Held for Sale</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Assets/Liabilities Not Subject to Fair Value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assets and liabilities not subject to fair value recognition by level within the valuation hierarchy:</w:t>
      </w:r>
    </w:p>
    <w:p>
      <w:pPr>
        <w:spacing w:after="0" w:line="140"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Carrying Value</w:t>
            </w: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6"/>
              </w:rPr>
              <w:t>Fair Value</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13"/>
        </w:trPr>
        <w:tc>
          <w:tcPr>
            <w:tcW w:w="7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26"/>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2"/>
          </w:tcPr>
          <w:p>
            <w:pPr>
              <w:ind w:left="220"/>
              <w:spacing w:after="0"/>
              <w:rPr>
                <w:sz w:val="20"/>
                <w:szCs w:val="20"/>
                <w:color w:val="auto"/>
              </w:rPr>
            </w:pPr>
            <w:r>
              <w:rPr>
                <w:rFonts w:ascii="Arial" w:cs="Arial" w:eastAsia="Arial" w:hAnsi="Arial"/>
                <w:sz w:val="18"/>
                <w:szCs w:val="18"/>
                <w:color w:val="auto"/>
              </w:rPr>
              <w:t>Wellstat Diagnostics note receivable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50,191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55,389</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Hyperion note receivable</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7660" w:type="dxa"/>
            <w:vAlign w:val="bottom"/>
            <w:gridSpan w:val="2"/>
          </w:tcPr>
          <w:p>
            <w:pPr>
              <w:ind w:left="220"/>
              <w:spacing w:after="0"/>
              <w:rPr>
                <w:sz w:val="20"/>
                <w:szCs w:val="20"/>
                <w:color w:val="auto"/>
              </w:rPr>
            </w:pPr>
            <w:r>
              <w:rPr>
                <w:rFonts w:ascii="Arial" w:cs="Arial" w:eastAsia="Arial" w:hAnsi="Arial"/>
                <w:sz w:val="18"/>
                <w:szCs w:val="18"/>
                <w:color w:val="auto"/>
              </w:rPr>
              <w:t>CareView note receivable</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8"/>
        </w:trPr>
        <w:tc>
          <w:tcPr>
            <w:tcW w:w="766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2021 Notes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December 2024 Notes</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There were no impairment losses on notes receivable in the eight months ended August 31, 2020. During the years ended December 31, 2019 and 2018 the Company recorded impairment losses of $10.8 million and $8.2 million, respectively, for the note receivable with CareView.</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had two notes receivable assets as of December 31, 2019 under the Going Concern Basis. The notes receivable were classified under the Going Concern Basis as Level 3 in the fair value hierarchy as the Company’s valuations utilized significant unobservable inputs, including estimates of future revenues, discount rates, expectations about settlement, terminal values, required yield and the value of underlying collateral. The Company engages third-party valuation experts when deemed necessary to assist in evaluating its investments and the related inputs needed to estimate the fair value of certain investments.</w:t>
      </w:r>
    </w:p>
    <w:p>
      <w:pPr>
        <w:spacing w:after="0" w:line="2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2019 under the Going Concern Basis, the estimated fair value of the CareView note receivable was determined using a liquidation analysis. A liquidation analysis considers the asset side of the balance sheet and adjusts the value in accordance with the relative risk associated with the asset and the probable liquidation value. The asset recovery rates varied by asset. As of December 31, 2019 under the Going Concern Basis, the estimated fair value of the Wellstat Diagnostics note receivable was determined by using an asset approach and discounted cash flow model related to the underlying collateral and adjusted to consider estimated costs to sell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0" w:name="page71"/>
    <w:bookmarkEnd w:id="70"/>
    <w:p>
      <w:pPr>
        <w:ind w:right="220"/>
        <w:spacing w:after="0" w:line="342" w:lineRule="auto"/>
        <w:rPr>
          <w:sz w:val="20"/>
          <w:szCs w:val="20"/>
          <w:color w:val="auto"/>
        </w:rPr>
      </w:pPr>
      <w:r>
        <w:rPr>
          <w:rFonts w:ascii="Arial" w:cs="Arial" w:eastAsia="Arial" w:hAnsi="Arial"/>
          <w:sz w:val="16"/>
          <w:szCs w:val="16"/>
          <w:color w:val="auto"/>
        </w:rPr>
        <w:t>The Company’s liabilities not subject to fair value recognition under the Going Concern Basis consist of its 2021 and 2024 convertible notes. The fair values of the Company’s convertible senior notes were determined using quoted market pricing and were classified as Level 2 in the fair value hierarchy.</w:t>
      </w:r>
    </w:p>
    <w:p>
      <w:pPr>
        <w:spacing w:after="0" w:line="1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represents significant unobservable inputs used in determining the estimated fair value of the Wellstat Diagnostics note receivable investment under the Going Concern Basis: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w:t>
            </w: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w:t>
            </w:r>
          </w:p>
        </w:tc>
        <w:tc>
          <w:tcPr>
            <w:tcW w:w="3180" w:type="dxa"/>
            <w:vAlign w:val="bottom"/>
            <w:gridSpan w:val="2"/>
          </w:tcPr>
          <w:p>
            <w:pPr>
              <w:ind w:left="20"/>
              <w:spacing w:after="0"/>
              <w:rPr>
                <w:sz w:val="20"/>
                <w:szCs w:val="20"/>
                <w:color w:val="auto"/>
              </w:rPr>
            </w:pPr>
            <w:r>
              <w:rPr>
                <w:rFonts w:ascii="Arial" w:cs="Arial" w:eastAsia="Arial" w:hAnsi="Arial"/>
                <w:sz w:val="18"/>
                <w:szCs w:val="18"/>
                <w:b w:val="1"/>
                <w:bCs w:val="1"/>
                <w:color w:val="auto"/>
              </w:rPr>
              <w:t>Unobservable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Technique</w:t>
            </w:r>
          </w:p>
        </w:tc>
        <w:tc>
          <w:tcPr>
            <w:tcW w:w="3180" w:type="dxa"/>
            <w:vAlign w:val="bottom"/>
            <w:gridSpan w:val="2"/>
          </w:tcPr>
          <w:p>
            <w:pPr>
              <w:ind w:left="20"/>
              <w:spacing w:after="0"/>
              <w:rPr>
                <w:sz w:val="20"/>
                <w:szCs w:val="20"/>
                <w:color w:val="auto"/>
              </w:rPr>
            </w:pPr>
            <w:r>
              <w:rPr>
                <w:rFonts w:ascii="Arial" w:cs="Arial" w:eastAsia="Arial" w:hAnsi="Arial"/>
                <w:sz w:val="18"/>
                <w:szCs w:val="18"/>
                <w:b w:val="1"/>
                <w:bCs w:val="1"/>
                <w:color w:val="auto"/>
              </w:rPr>
              <w:t>Input</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2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Wellstat Diagnostics</w:t>
            </w: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Wellstat Guarantors intellectual property</w:t>
            </w:r>
          </w:p>
        </w:tc>
        <w:tc>
          <w:tcPr>
            <w:tcW w:w="1900" w:type="dxa"/>
            <w:vAlign w:val="bottom"/>
            <w:gridSpan w:val="2"/>
          </w:tcPr>
          <w:p>
            <w:pPr>
              <w:ind w:left="20"/>
              <w:spacing w:after="0"/>
              <w:rPr>
                <w:sz w:val="20"/>
                <w:szCs w:val="20"/>
                <w:color w:val="auto"/>
              </w:rPr>
            </w:pPr>
            <w:r>
              <w:rPr>
                <w:rFonts w:ascii="Arial" w:cs="Arial" w:eastAsia="Arial" w:hAnsi="Arial"/>
                <w:sz w:val="18"/>
                <w:szCs w:val="18"/>
                <w:i w:val="1"/>
                <w:iCs w:val="1"/>
                <w:color w:val="auto"/>
              </w:rPr>
              <w:t>Income Approach</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Undiscounted royalty amount</w:t>
            </w: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$21 million</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Settlement Amount</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Income Approach</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Undiscounted settlement amount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$28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Real Estate Property</w:t>
            </w:r>
          </w:p>
        </w:tc>
        <w:tc>
          <w:tcPr>
            <w:tcW w:w="1900" w:type="dxa"/>
            <w:vAlign w:val="bottom"/>
            <w:gridSpan w:val="2"/>
          </w:tcPr>
          <w:p>
            <w:pPr>
              <w:ind w:left="20"/>
              <w:spacing w:after="0"/>
              <w:rPr>
                <w:sz w:val="20"/>
                <w:szCs w:val="20"/>
                <w:color w:val="auto"/>
              </w:rPr>
            </w:pPr>
            <w:r>
              <w:rPr>
                <w:rFonts w:ascii="Arial" w:cs="Arial" w:eastAsia="Arial" w:hAnsi="Arial"/>
                <w:sz w:val="18"/>
                <w:szCs w:val="18"/>
                <w:i w:val="1"/>
                <w:iCs w:val="1"/>
                <w:color w:val="auto"/>
              </w:rPr>
              <w:t>Market Approach</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Annual appreciation rate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Estimated realtor fee</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Undiscounted market value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$16 million</w:t>
            </w:r>
          </w:p>
        </w:tc>
        <w:tc>
          <w:tcPr>
            <w:tcW w:w="0" w:type="dxa"/>
            <w:vAlign w:val="bottom"/>
          </w:tcPr>
          <w:p>
            <w:pPr>
              <w:spacing w:after="0"/>
              <w:rPr>
                <w:sz w:val="1"/>
                <w:szCs w:val="1"/>
                <w:color w:val="auto"/>
              </w:rPr>
            </w:pPr>
          </w:p>
        </w:tc>
      </w:tr>
      <w:tr>
        <w:trPr>
          <w:trHeight w:val="540"/>
        </w:trPr>
        <w:tc>
          <w:tcPr>
            <w:tcW w:w="4640" w:type="dxa"/>
            <w:vAlign w:val="bottom"/>
            <w:gridSpan w:val="4"/>
          </w:tcPr>
          <w:p>
            <w:pPr>
              <w:spacing w:after="0"/>
              <w:rPr>
                <w:sz w:val="20"/>
                <w:szCs w:val="20"/>
                <w:color w:val="auto"/>
              </w:rPr>
            </w:pPr>
            <w:r>
              <w:rPr>
                <w:rFonts w:ascii="Arial" w:cs="Arial" w:eastAsia="Arial" w:hAnsi="Arial"/>
                <w:sz w:val="18"/>
                <w:szCs w:val="18"/>
                <w:b w:val="1"/>
                <w:bCs w:val="1"/>
                <w:color w:val="auto"/>
              </w:rPr>
              <w:t>9. Notes and Other Long-Term Receivables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long-term receivables included the following significant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Wellstat Diagnostics Note Receivable and Credit Agreement and Related Litigation</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November 2, 2012, the Company and Wellstat Diagnostics entered into a $40.0 million credit agreement pursuant to which the Company was to accrue quarterly interest payments at the rate of 5% per annum (payable in cash or in kind). In addition, the Company was to receive quarterly royalty payments based on a low double-digit royalty rate of Wellstat Diagnostics’ net revenues, generated by the sale, distribution or other use of Wellstat Diagnostics’ products, if any, commencing upon the commercialization of its products. A portion of the proceeds of the $40.0 million credit agreement were used to repay certain notes receivable which Wellstat Diagnostics entered into in March 2012.</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January 2013, the Company was informed that, as of December 31, 2012, Wellstat Diagnostics had used funds contrary to the terms of the credit agreement and breached Sections 2.1.2 and 7 of the credit agreement. The Company sent Wellstat Diagnostics a notice of default on January 22, 2013, and accelerated the amounts owed under the credit agreement. In connection with the notice of default, the Company exercised one of its available remedies and transferred approximately $8.1 million of available cash from a bank account of Wellstat Diagnostics to the Company and applied the funds to amounts due under the credit agreement. On February 28, 2013, the parties entered into a forbearance agreement whereby the Company agreed to refrain from exercising additional remedies for 120 days. During such forbearance period, the Company provided approximately $1.3 million to Wellstat Diagnostics to fund ongoing operations of the business. During the year ended December 31, 2013, approximately $8.7 million was advanced pursuant to the forbearance agreement.</w:t>
      </w:r>
    </w:p>
    <w:p>
      <w:pPr>
        <w:spacing w:after="0" w:line="2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August 15, 2013, the Company entered into an amended and restated credit agreement with Wellstat Diagnostics. The Company determined that the new agreement should be accounted for as a modification of the existing agreement.</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Except as otherwise described herein, the material terms of the amended and restated credit agreement were substantially the same as those of the original credit agreement, including quarterly interest payments at the rate of 5% per annum (payable in cash or in kind). In addition, the Company was to continue to receive quarterly royalty payments based on a low double-digit royalty rate of Wellstat Diagnostics’ net revenues. However, pursuant to the amended and restated credit agreement: (i) the principal amount was reset to approximately $44.1 million, which was comprised of approximately $33.7 million original loan principal and interest, $1.3 million term loan principal and interest and $9.1 million forbearance principal and interest; (ii) the specified internal rates of return increased; (iii) the default interest rate was increased; (iv) Wellstat Diagnostics’ obligation to provide certain financial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1" w:name="page72"/>
    <w:bookmarkEnd w:id="71"/>
    <w:p>
      <w:pPr>
        <w:ind w:right="140"/>
        <w:spacing w:after="0" w:line="301" w:lineRule="auto"/>
        <w:rPr>
          <w:sz w:val="20"/>
          <w:szCs w:val="20"/>
          <w:color w:val="auto"/>
        </w:rPr>
      </w:pPr>
      <w:r>
        <w:rPr>
          <w:rFonts w:ascii="Arial" w:cs="Arial" w:eastAsia="Arial" w:hAnsi="Arial"/>
          <w:sz w:val="16"/>
          <w:szCs w:val="16"/>
          <w:color w:val="auto"/>
        </w:rPr>
        <w:t>information increased in frequency to monthly; (v) internal financial controls were strengthened by requiring Wellstat Diagnostics to maintain an independent, third-party financial professional with control over fund disbursements; (vi) the Company waived the existing events of default; and (vii) the owners and affiliates of Wellstat Diagnostics were required to contribute additional capital to Wellstat Diagnostics upon the sale of an affiliate entity. The amended and restated credit agreement had an ultimate maturity date of December 31, 2021 (but has subsequently been accelerated as described below).</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June 2014, the Company received information from Wellstat Diagnostics showing that it was generally unable to pay its debts as they became due, constituting an event of default under the amended and restated credit agreement.</w:t>
      </w:r>
    </w:p>
    <w:p>
      <w:pPr>
        <w:spacing w:after="0" w:line="19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August 5, 2014, the Company delivered a notice of default to Wellstat Diagnostics, which accelerated all obligations under the amended and restated credit agreement and demanded immediate payment in full in an amount equal to approximately $53.9 million, (which amount, in accordance with the terms of the amended and restated credit agreement, included an amount that, together with interest and royalty payments already made to the Company, would generate a specified internal rate of return to the Company), plus accruing fees, costs and interest, and demanded that Wellstat Diagnostics protect and preserve all collateral securing its obligations.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August 7, 2014, the Company delivered a notice to each of the guarantors of Wellstat Diagnostics’ obligations to the Company (collectively, the “Wellstat Diagnostics Guarantors”) under the credit agreement, which included a demand that the guarantors remit payment to the Company in the amount of the outstanding obligations. The guarantors include certain affiliates and related companies of Wellstat Diagnostics, including Wellstat Therapeutics and Wellstat Diagnostics’ stockholders.</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September 24, 2014, the Company filed an ex-parte petition for appointment of a receiver with the Circuit Court of Montgomery County, Maryland, which was granted on the same day. Wellstat Diagnostics remained in operation during the period of the receivership with incremental additional funding from the Company. On May 24, 2017, Wellstat Diagnostics transferred substantially all of its assets to the Company pursuant to a credit bid. The credit bid reduced the outstanding balance of the loan by an immaterial amount.</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On September 4, 2015, the Company filed in the Supreme Court of New York a motion for summary judgment in lieu of complaint which requested that the court enter judgment against certain of the Wellstat Diagnostics Guarantors for the total amount due on the Wellstat Diagnostics debt, plus all costs and expenses including lawyers’ fees incurred by the Company in enforcement of the related guarantees. On September 23, 2015, the Company filed in the same court an ex parte application for a temporary restraining order and order of attachment of the Wellstat Diagnostics Guarantor defendants’ assets. Although the court denied the Company’s request for a temporary restraining order at a hearing on September 24, 2015, it ordered that assets of the Wellstat Diagnostics Guarantor defendants should be held in </w:t>
      </w:r>
      <w:r>
        <w:rPr>
          <w:rFonts w:ascii="Arial" w:cs="Arial" w:eastAsia="Arial" w:hAnsi="Arial"/>
          <w:sz w:val="16"/>
          <w:szCs w:val="16"/>
          <w:i w:val="1"/>
          <w:iCs w:val="1"/>
          <w:color w:val="auto"/>
        </w:rPr>
        <w:t>status quo ante</w:t>
      </w:r>
      <w:r>
        <w:rPr>
          <w:rFonts w:ascii="Arial" w:cs="Arial" w:eastAsia="Arial" w:hAnsi="Arial"/>
          <w:sz w:val="16"/>
          <w:szCs w:val="16"/>
          <w:color w:val="auto"/>
        </w:rPr>
        <w:t xml:space="preserve"> and only used in the normal course of business.</w:t>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29, 2016, the Supreme Court of New York granted the Company’s motion for summary judgment and held that the Wellstat Diagnostics Guarantor defendants are liable for all “Obligations” owed by Wellstat Diagnostics to the Company.</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After appeal by the Wellstat Diagnostics Guarantor defendants on February 14, 2017, the Appellate Division of the Supreme Court of New York reversed on procedural grounds a portion of the Memorandum of Decision granting the Company summary judgment in lieu of complaint, but affirmed the portion of the Memorandum of Decision denying the Wellstat Diagnostics Guarantor defendants’ motion for summary judgment in which they sought a determination that the guarantees had been released. As a result, the proceeding was remanded to the Supreme Court of New York to proceed on the Company’s claims as a plenary action. On June 21, 2017, the Supreme Court of New York ordered the Company to file a Complaint, which was filed by the Company on July 20, 2017. The Wellstat Diagnostics Guarantors filed their answer on August 9, 2017, including counterclaims against the Company alleging breach of contract, breach of fiduciary duty, and tortious interference with prospective economic advantage.</w:t>
      </w:r>
    </w:p>
    <w:p>
      <w:pPr>
        <w:spacing w:after="0" w:line="2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October 14, 2016, the Company sent a notice of default and reference to foreclosure proceedings to certain of the Wellstat Diagnostics Guarantors which were not defendants in the New York action, but which are owners of real estate assets over which a deed of trust in favor of the Company securing the guarantee of the loan to Wellstat Diagnostics had been executed. On March 2, 2017, the Company sent a second notice to foreclose on the real estate assets, and noticed the sale for March 29, 2017. The sale was taken off the calendar by the trustee under the deed of trust and was not re-scheduled. On March 6, 2017, the Company sent a letter to the Wellstat Diagnostics Guarantors seeking information in preparation for a UCC Article 9 sale of some or all of the intellectual property-related collateral of the Wellstat Diagnostics Guarantors. The Wellstat Diagnostics Guarantors did not respond to the Company’s letter, but on March 17, 2017, filed an order to show cause with the Supreme Court of New York to enjoin the Company’s sale of the real estate or enforcing its security interests in the Wellstat Diagnostics Guarantors’ intellectual property during the pendency of any action involving the guarantees at issue. On February 6, 2018, the Supreme Court of New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2" w:name="page73"/>
    <w:bookmarkEnd w:id="72"/>
    <w:p>
      <w:pPr>
        <w:ind w:right="40"/>
        <w:spacing w:after="0" w:line="287" w:lineRule="auto"/>
        <w:rPr>
          <w:sz w:val="20"/>
          <w:szCs w:val="20"/>
          <w:color w:val="auto"/>
        </w:rPr>
      </w:pPr>
      <w:r>
        <w:rPr>
          <w:rFonts w:ascii="Arial" w:cs="Arial" w:eastAsia="Arial" w:hAnsi="Arial"/>
          <w:sz w:val="16"/>
          <w:szCs w:val="16"/>
          <w:color w:val="auto"/>
        </w:rPr>
        <w:t>York issued an order from the bench which enjoins the Wellstat Diagnostics Guarantors from selling, encumbering, removing, transferring or altering the collateral pending the outcome of the proceedings before it. The Supreme Court of New York also issued an order precluding the Company from foreclosing on certain of the Wellstat Diagnostics Guarantors’ collateral pending the outcome of the proceedings before it. In September of 2018, discovery in the New York action was completed. Summary judgment motions were filed by Wellstat Diagnostics and the Company in 2018 and a hearing was held on May 22, 2019. On September 11, 2019, the Supreme Court of New York granted the Company’s summary judgment motion, the court holding that the guarantees executed by the Wellstat Diagnostics Guarantors are valid and enforceable, and that the Wellstat Diagnostics Guarantors are liable for the amount owed under the loan agreement. The court ordered a damages inquest before a special referee to calculate the amount owed under the loan agreement between Wellstat Diagnostics and the Company. On September 12, 2019, the Wellstat Diagnostics Guarantors filed a notice of appeal in relation to the court’s decision. On September 17, 2019, the Wellstat Diagnostics Guarantors requested a stay of the enforcement of the New York Supreme Court’s decision pending their appeal of the decision, which was denied on November 21, 2019. A damages hearing was scheduled to begin before a judicial hearing officer on December 17, 2019. At the request of the judicial hearing officer, the parties agreed to mediate their dispute prior to the commencement of the damages hearing. As a result, no decision was made by the hearing officer with respect to the amount of damages owed to the Company.</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an unrelated litigation, Wellstat Therapeutics filed a lawsuit against BTG International, Inc. for breach of contract (the “BTG Litigation”). In September 2017, the Delaware Chancery Court found in favor of Wellstat Therapeutics and awarded a judgment of $55.8 million in damages, plus interest. In October 2017, the Company filed a motion with the Supreme Court of New York requesting a pre-judgement attachment of the award. In June 2018, the Delaware Supreme Court largely affirmed the September 2017 decision of the Delaware Chancery Court, including the $55.8 million awarded in judgment. In August of 2018, in a letter to the Company’s counsel, Wellstat Diagnostics Guarantors’ counsel confirmed that the Wellstat Diagnostics Guarantors would preserve the BTG Litigation judgment award proceeds consistent with the New York Court’s prior directions.</w:t>
      </w:r>
    </w:p>
    <w:p>
      <w:pPr>
        <w:spacing w:after="0" w:line="2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October 22, 2015, certain of the Wellstat Diagnostics Guarantors filed a separate complaint against the Company in the Supreme Court of New York seeking a declaratory judgment that certain contractual arrangements entered into between the parties subsequent to Wellstat Diagnostics’ default, and which relate to a split of proceeds in the event that the Wellstat Diagnostics Guarantors voluntarily monetize any assets that are the Company’s collateral, is of no force or effect. This case was joined for all purposes, including discovery and trial, and consolidated with the then pending case filed by the Company. The Wellstat Diagnostic Guarantors filed a summary judgment motion with regard to this case, which was also heard by the court at the hearing on May 22, 2019. The court, in its September 11, 2019 decision, denied in its entirety the Wellstat Diagnostics Guarantors’ motion for summary judgment.</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April 1, 2014, and as a result of the event of default, the Company determined the loan to be impaired and it ceased to accrue interest revenue. At that time and under previous Going Concern reporting periods, it was determined that an allowance on the carrying value of the note was not necessary, as the Company believed the value of the collateral securing Wellstat Diagnostics’ obligations exceeded the carrying value of the asset and was sufficient to enable the Company to recover the carrying value.</w:t>
      </w:r>
    </w:p>
    <w:p>
      <w:pPr>
        <w:spacing w:after="0" w:line="21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August 2020, the Company entered into a settlement agreement (the “Settlement Agreement”) with Samuel J. Wohlstadter, Nadine H. Wohlstadter, Hyperion Catalysis International, Wellstat Vaccines, LLC, Wellstat ImmunoTherapeutics, LLC, Wellstat BioCatalysis, LLC, Wellstat AVT Investment, LLC, Wellstat Biologics Corporation, Wellstat Management Company, LLC, Wellstat Ophthalmics Corporation, Wellstat Therapeutics Corporation, Wellstat Therapeutics EU Limited, Duck Farm, Inc., Hebron Valley Farms, Inc., HVF, Inc., Hyperion Catalysis EU Limited, NHW, LLC, and SJW Properties, Inc., together with their respective successors and assigns, (collectively the “Wellstat Parties”), and Defined Diagnostics, LLC (f/k/a Wellstat Diagnostics, LLC) resolving all claims in litigation relating to loans made to Wellstat Diagnostics by the Company. Wellstat paid the company an amount of $7.5 million upon the signing of the Settlement Agreement and must pay either (1) $5.0 million by February 10, 2021 and $55.0 million by July 26, 2021; or (2) $67.5 million by July 26, 2021. If the Wellstat Parties fail to make payment in full by July 26, 2021 as required under the terms of the Settlement Agreement, the Company is authorized to record and confess judgment against the Wellstat Parties for an amount of $92.5 million or such lesser amount as may be owed under the Settlement Agreement as of that date. The $7.5 million initial signing payment was received by the Company in August 2020. The Company’s Settlement Agreement with the Wellstat Parties also settled its disputes with Hyperion (a Wellstat Diagnostics Guarantor).</w:t>
      </w:r>
    </w:p>
    <w:p>
      <w:pPr>
        <w:spacing w:after="0" w:line="19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December 11, 2020, the Company sold its rights in the Settlement Agreement to Epps Investments LLC (“Epps”). Under the terms of the Agreement, Epps paid the Company approximately $51.4 million in exchange for 100% of the awards, damages, recoveries, judgments or other property or value awarded to or received by the Company on or after the date of the Agreement pursuant to or as a result of (i) the Settlement Agreement, and (ii) the underlying claims resolved by the Settlement Agreement.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3" w:name="page74"/>
    <w:bookmarkEnd w:id="73"/>
    <w:p>
      <w:pPr>
        <w:ind w:right="220"/>
        <w:spacing w:after="0" w:line="287" w:lineRule="auto"/>
        <w:rPr>
          <w:sz w:val="20"/>
          <w:szCs w:val="20"/>
          <w:color w:val="auto"/>
        </w:rPr>
      </w:pPr>
      <w:r>
        <w:rPr>
          <w:rFonts w:ascii="Arial" w:cs="Arial" w:eastAsia="Arial" w:hAnsi="Arial"/>
          <w:sz w:val="16"/>
          <w:szCs w:val="16"/>
          <w:color w:val="auto"/>
        </w:rPr>
        <w:t>The Company agreed to reimburse Epps for certain expenses related to the Agreement. Pursuant to the agreement, the Company granted Epps a security interest in the Company’s interest in certain collateral, as further described in the Agreement, including the Settlement Agreement and the underlying claims resolved by the Settlement Agreement, as security for the prompt payment of the Company’s obligations under the Agreement.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Avinger Credit and Royalty Agreement</w:t>
      </w:r>
    </w:p>
    <w:p>
      <w:pPr>
        <w:spacing w:after="0" w:line="23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April 18, 2013, the Company entered into a credit agreement with Avinger, Inc. (the “Avinger Credit and Royalty Agreement”). Under the terms of the Avinger Credit and Royalty Agreement, the Company received a low, single-digit royalty on Avinger’s net revenues until April 2018. Commencing in October 2015, after Avinger repaid $21.4 million pursuant to its note payable to the Company prior to its maturity date, the royalty on Avinger’s net revenues was reduced by 50%, subject to certain minimum payments from the prepayment date until April 18, 2018. The Company accounted for the royalty rights in accordance with the fair value option. As of April 18, 2018, there were no further obligations owed 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Flow Medical Credit Agreement</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5, 2013, the Company entered into a credit agreement with Direct Flow Medical, Inc. (“Direct Flow Medical”) under which the Company agreed to provide up to $50.0 million to Direct Flow Medical. Of the $50.0 million available to Direct Flow Medical, the first tranche of $35.0 million, net of fees, was funded by the Company at the close of the transaction.</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10, 2014, the Company and Direct Flow Medical agreed to an amendment to the credit agreement to permit Direct Flow Medical to borrow an additional $15.0 million (in a second tranche) upon receipt by Direct Flow Medical of a specified minimum amount of proceeds from an equity offering prior to December 31, 2014. In exchange, the parties amended the credit agreement to provide for additional fees associated with certain liquidity events, such as a change of control or the consummation of an initial public offering, and granted the Company certain board of director observation rights. On November 19, 2014, upon Direct Flow Medical satisfying the amended tranche two milestone, the Company funded the $15.0 million second tranche to Direct Flow Medical, net of fees.</w:t>
      </w:r>
    </w:p>
    <w:p>
      <w:pPr>
        <w:spacing w:after="0" w:line="21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Outstanding borrowings under tranche one bore interest at the rate of 15.5% per annum, payable quarterly in arrears, until the occurrence of the second tranche. Upon occurrence of the borrowing of this second tranche, the interest rate applicable to all loans under the credit agreement was decreased to 13.5% per annum, payable quarterly in arrears.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terms of the credit agreement, Direct Flow Medical’s obligation to repay loan principal commenced on the twelfth interest payment date, September 30, 2016. The principal amount outstanding at commencement of repayment was required to be repaid in equal installments until final maturity of the loans. The loans were scheduled to mature on November 5, 2018. The obligations under the credit agreement were secured by a pledge of substantially all of the assets of Direct Flow Medical and any of its subsidiaries.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21, 2015, Direct Flow Medical and the Company entered into a waiver to the credit agreement in anticipation of Direct Flow Medical being unable to comply with the liquidity covenant and make interest payments due under the credit agreement, which was subsequently extended on January 14, 2016, and further delayed the timing of the interest payments through the period ending September 30, 2016 while Direct Flow Medical sought additional financing to operate its business.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On January 28, 2016, the Company funded an additional $5.0 million to Direct Flow Medical in the form of a short-term secured promissory note.</w:t>
      </w:r>
    </w:p>
    <w:p>
      <w:pPr>
        <w:spacing w:after="0" w:line="2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February 26, 2016, the Company and Direct Flow Medical entered into the fourth amendment to the credit agreement that, among other things, (i) converted the $5.0 million short-term secured promissory note into a loan under the credit agreement with substantially the same interest and payment terms as the existing loans, (ii) added a conversion feature whereby the $5.0 million loan would convert into equity of Direct Flow Medical upon the occurrence of certain events and (iii) provided for a second $5.0 million convertible loan tranche commitment, to be funded at the option of the Company. The commitment for the second tranche was not funded and has since expired. In addition, (i) the Company agreed to waive the liquidity covenant and delay the timing of the unpaid interest payments until September 30, 2016 and (ii) Direct Flow Medical agreed to issue to the Company a specified amount of warrants to purchase shares of convertible preferred stock on the first day of each month for the duration of the waiver period at an exercise price of $0.01 per share.</w:t>
      </w:r>
    </w:p>
    <w:p>
      <w:pPr>
        <w:spacing w:after="0" w:line="2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July 15, 2016, the Company and Direct Flow Medical entered into the fifth amendment and limited waiver to the credit agreement. The Company funded an additional $1.5 million to Direct Flow Medical in the form of a note with substantially the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74" w:name="page75"/>
    <w:bookmarkEnd w:id="74"/>
    <w:p>
      <w:pPr>
        <w:ind w:right="40"/>
        <w:spacing w:after="0" w:line="263" w:lineRule="auto"/>
        <w:rPr>
          <w:sz w:val="20"/>
          <w:szCs w:val="20"/>
          <w:color w:val="auto"/>
        </w:rPr>
      </w:pPr>
      <w:r>
        <w:rPr>
          <w:rFonts w:ascii="Arial" w:cs="Arial" w:eastAsia="Arial" w:hAnsi="Arial"/>
          <w:sz w:val="18"/>
          <w:szCs w:val="18"/>
          <w:color w:val="auto"/>
        </w:rPr>
        <w:t>same interest and payment terms as the existing loans and a conversion feature whereby the $1.5 million loan would convert into equity of Direct Flow Medical upon the occurrence of certain events. In addition, Direct Flow Medical agreed to issue to the Company warrants to purchase shares of convertible preferred stock at an exercise price of $0.01 per share.</w:t>
      </w:r>
    </w:p>
    <w:p>
      <w:pPr>
        <w:spacing w:after="0" w:line="21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 September 12, 2016, the Company and Direct Flow Medical entered into the sixth amendment and limited waiver to the credit agreement under which the Company funded an additional $1.5 million to Direct Flow Medical in the form of a note with substantially the same interest and payment terms as the existing loans. In addition, Direct Flow Medical agreed to issue to the Company a specified amount of warrants to purchase shares of convertible preferred stock at an exercise price of $0.01 per share.</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September 30, 2016, the Company and Direct Flow Medical entered into a waiver to the credit agreement where the parties agreed, among other things, to (i) delay payment on all overdue interest payments until October 31, 2016, (ii) waive the initial principal repayment until October 31, 2016 and (iii) continue to waive the liquidity requirements until October 31, 2016. Further, Direct Flow Medical agreed to issue to the Company a specified amount of warrants to purchase shares of convertible preferred stock at an exercise price of $0.01 per share.</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October 31, 2016, the Company agreed to extend the waivers described above until November 30, 2016 and on November 14, 2016, the Company advanced an additional $1.0 million loan while Direct Flow Medical continued to seek additional financing.</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November 16, 2016, Direct Flow Medical advised the Company that its potential financing source had modified its proposal from an equity investment to a loan with a substantially smaller amount and under less favorable terms. Direct Flow Medical shut down its operations in December 2016 and in January 2017 made an assignment for the benefit of creditors. The Company then initiated foreclosure proceedings, resulting in the Company obtaining ownership of most of the Direct Flow Medical assets through the Company’s wholly-owned subsidiary, DFM, LLC. The assets were held for sale and carried at the lower of carrying amount or fair value, less estimated selling costs, which was primarily based on supporting data from market participant sources, and valid offers from third parties.</w:t>
      </w:r>
    </w:p>
    <w:p>
      <w:pPr>
        <w:spacing w:after="0" w:line="2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December 31, 2016, the Company completed an impairment analysis and concluded that the situation qualified as a troubled debt restructuring and recognized an impairment loss of $51.1 million.</w:t>
      </w:r>
    </w:p>
    <w:p>
      <w:pPr>
        <w:spacing w:after="0" w:line="1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January 2017, the Company started to actively market the asset held for sale. On January 23, 2017, the Company and DFM, LLC entered into an Intellectual Property Assignment Agreement with Hong Kong Haisco Pharmaceutical Co., Limited (“Haisco”), a Chinese pharmaceutical company, whereby Haisco acquired former Direct Flow Medical clinical, regulatory and commercial information and intellectual property rights exclusively in China for $7.0 million. The Company, through DFM, LLC, also sold Haisco certain manufacturing equipment for $450,000 and collected $692,000 on outstanding Direct Flow Medical accounts receivable during the year ended December 31, 2017.</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6, 2018, DFM, LLC and HaisThera Advisors Co., Limited (“HaisThera”) entered into a license agreement whereby DFM, LLC granted HaisThera an exclusive license to develop, manufacture and commercialize percutaneously implanting stentless aortic valves in the EU. The consideration for the license agreement was $500,000 upfront and up to $2.0 million in royalty payments. In August 2019, the remaining assets of DFM, LLC were sold for $5.0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kaléo Note Purchase Agreement</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On April 1, 2014, the Company entered into a note purchase agreement with Accel 300, LLC (“Accel 300”), a wholly-owned subsidiary of kaléo, Inc. (“kaléo”), pursuant to which the Company acquired $150.0 million of secured notes due 2029 (the “kaléo Note”). The kaléo Note was issued pursuant to an indenture between Accel 300 and U.S. Bank, National Association, as trustee, and was secured by 20% of net sales of its first approved product, Auvi-Q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(epinephrine auto-injection, USP) (known as Allerject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Canada) and 10% of net sales of kaléo’s second proprietary auto-injector based product, EVZIO (naloxone hydrochloride injection ) (the “kaléo Revenue Interests”), and a pledge of kaléo’s equity ownership in Accel 300.</w:t>
      </w:r>
    </w:p>
    <w:p>
      <w:pPr>
        <w:spacing w:after="0" w:line="21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On September 21, 2017, the Company entered into an agreement (the “kaléo Note Sale Agreement”) with MAM-Kangaroo Lender, LLC, a Delaware limited liability company (the “kaléo Purchaser”), pursuant to which the Company sold its entire interest in the kaléo Note.</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kaléo Note Sale Agreement, the kaléo Purchaser paid to the Company an amount equal to all of the then outstanding principal, a premium of 1% of such amount and accrued interest under the kaléo Note, for an aggregate cash purchase price of $141.7 million, subject to an 18-month escrow holdback of $1.4 million against certain potential contingencies. The escrow period ended on March 20, 2019 and the escrow agent released the entire $1.4 million to the Company.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CareView Credit Agreement</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26, 2015, the Company entered into a credit agreement with CareView, under which the Company made available to CareView up to $40.0 million in loans comprised of two tranches of $20.0 million each, subject to CareView’s attainment of specified milestones relating to the placement of CareView Systems. On October 7, 2015, the Company and CareView entered into an amendment of the credit agreement to modify certain definitions related to the first and second tranche milestones and the Company funded the first tranche of $20.0 million, net of fees, based on CareView’s attainment of the first milestone, as amended. The second $20.0 million tranche was not funded due to CareView’s failure to achieve the related funding milestones and there is no additional funding obligation due from the Company. Outstanding borrowings under the credit agreement initially bore interest at the rate of 13.5% per annum and are payable quarterly in arrears.</w:t>
      </w:r>
    </w:p>
    <w:p>
      <w:pPr>
        <w:spacing w:after="0" w:line="20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part of the original credit agreement, the Company received a warrant to purchase approximately 4.4 million shares of common stock of CareView at an exercise price of $0.45 per share. The Company has accounted for the warrant as derivative asset with an offsetting credit as debt discount. Under the Going Concern Basis, the warrant was market to market for changed in fair value each reporting period.</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connection with the October 2015 amendment of the credit agreement, the Company and CareView also agreed to amend the warrant to purchase common stock agreement by reducing the warrant’s exercise price from $0.45 to $0.40 per share.</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February 2018, the Company entered into a modification agreement with CareView (the “February 2018 Modification Agreement”) whereby the Company agreed, effective December 28, 2017, to modify the credit agreement before remedies could otherwise have become available to the Company under the credit agreement in relation to certain obligations of CareView that would potentially not be met, including the requirement to make principal payments. Under the February 2018 Modification Agreement, the Company agreed that (i) a lower liquidity covenant would be applicable and (ii) principal repayment would be delayed until December 31, 2018. In exchange for agreeing to these modifications, among other things, the exercise price of the Company’s warrants to purchase 4.4 million shares of common stock of CareView was repriced from $0.40 to $0.03 per share and, subject to the occurrence of certain events, CareView agreed to grant the Company additional equity interests. As a result of the February 2018 Modification Agreement, the Company determined the loan to be impaired and it ceased to accrue interest revenue effective October 1, 2017.</w:t>
      </w:r>
    </w:p>
    <w:p>
      <w:pPr>
        <w:spacing w:after="0" w:line="19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September 2018, the Company entered into an amendment to the February 2018 Modification Agreement with CareView whereby the Company agreed, effective as of September 28, 2018, that a lower liquidity covenant would be applicable. In December 2018, the Company further modified the loan by agreeing that (i) a lower liquidity covenant would be applicable, (ii) the first principal payment would be deferred until January 31, 2019, and (iii) the scheduled interest payment due December 31, 2018 would be deferred until January 31, 2019. In December 2018, and in consideration of the further modification to the credit agreement, the Company completed an impairment analysis and determined that the note was impaired and recorded an impairment loss of $8.2 million. The principal repayment and interest payment were subsequently deferred until May 15, 2019 under additional amendments. In May 2019, and in consideration of additional capital raised by CareView, the Company further modified the loan by agreeing that (i) the first principal and interest payments would be deferred until September 30, 2019 (ii) the remaining liquidity covenant would be removed, and (iii) the interest rate would be increased to 15.5%. Pursuant to further amendments to the February 2018 Modification Agreement in September 2019, December 2019, January 2020, April 2020, September 2020, November 2020 and January 2021, the Company agreed to defer principal and interest payments until May 31, 2021.</w:t>
      </w:r>
    </w:p>
    <w:p>
      <w:pPr>
        <w:spacing w:after="0" w:line="21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December 2019, and in consideration of the further modification to the credit agreement and February 2018 Modification Agreement, the Company updated its impairment analysis and determined that an additional impairment was necessary and recorded an impairment loss of $10.8 million.</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As of December 31, 2020, under the Liquidation Basis, the expected cash realizable value of the CareView note receivable and warrant was $0.8 million and included in “Other assets” on the Statement of Net Assets in Liquidation. Refer to Note 3, </w:t>
      </w:r>
      <w:r>
        <w:rPr>
          <w:rFonts w:ascii="Arial" w:cs="Arial" w:eastAsia="Arial" w:hAnsi="Arial"/>
          <w:sz w:val="18"/>
          <w:szCs w:val="18"/>
          <w:i w:val="1"/>
          <w:iCs w:val="1"/>
          <w:color w:val="auto"/>
        </w:rPr>
        <w:t>Net Assets in Liquidation</w:t>
      </w:r>
      <w:r>
        <w:rPr>
          <w:rFonts w:ascii="Arial" w:cs="Arial" w:eastAsia="Arial" w:hAnsi="Arial"/>
          <w:sz w:val="18"/>
          <w:szCs w:val="18"/>
          <w:color w:val="auto"/>
        </w:rPr>
        <w:t>, for a discussion of the valuation of the warrants under the Liquidation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2020, the Company has an operating lease for corporate offices. The Company’s operating lease has a remaining lease term of two years, with an option to extend the lease for up to six months.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Prior to the sale of Noden and the spin-off of LENSAR, the Company also included operating leases for their corporate offices and certain equipment.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from continuing operations under the Going Concern Basis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Eight Months Ended</w:t>
            </w:r>
          </w:p>
        </w:tc>
        <w:tc>
          <w:tcPr>
            <w:tcW w:w="240" w:type="dxa"/>
            <w:vAlign w:val="bottom"/>
          </w:tcPr>
          <w:p>
            <w:pPr>
              <w:spacing w:after="0"/>
              <w:rPr>
                <w:sz w:val="19"/>
                <w:szCs w:val="19"/>
                <w:color w:val="auto"/>
              </w:rPr>
            </w:pPr>
          </w:p>
        </w:tc>
        <w:tc>
          <w:tcPr>
            <w:tcW w:w="1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4"/>
        </w:trPr>
        <w:tc>
          <w:tcPr>
            <w:tcW w:w="68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00" w:type="dxa"/>
            <w:vAlign w:val="bottom"/>
          </w:tcPr>
          <w:p>
            <w:pPr>
              <w:spacing w:after="0"/>
              <w:rPr>
                <w:sz w:val="20"/>
                <w:szCs w:val="20"/>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August 31, 2020</w:t>
            </w:r>
          </w:p>
        </w:tc>
        <w:tc>
          <w:tcPr>
            <w:tcW w:w="240" w:type="dxa"/>
            <w:vAlign w:val="bottom"/>
          </w:tcPr>
          <w:p>
            <w:pPr>
              <w:spacing w:after="0"/>
              <w:rPr>
                <w:sz w:val="20"/>
                <w:szCs w:val="20"/>
                <w:color w:val="auto"/>
              </w:rPr>
            </w:pPr>
          </w:p>
        </w:tc>
        <w:tc>
          <w:tcPr>
            <w:tcW w:w="1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34"/>
        </w:trPr>
        <w:tc>
          <w:tcPr>
            <w:tcW w:w="6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Short-term lease cost</w:t>
            </w: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3"/>
              </w:rPr>
              <w:t>Supplemental cash flow information related to leases for continuing operations is as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Eight Months Ended</w:t>
            </w:r>
          </w:p>
        </w:tc>
        <w:tc>
          <w:tcPr>
            <w:tcW w:w="240" w:type="dxa"/>
            <w:vAlign w:val="bottom"/>
          </w:tcPr>
          <w:p>
            <w:pPr>
              <w:spacing w:after="0"/>
              <w:rPr>
                <w:sz w:val="24"/>
                <w:szCs w:val="24"/>
                <w:color w:val="auto"/>
              </w:rPr>
            </w:pPr>
          </w:p>
        </w:tc>
        <w:tc>
          <w:tcPr>
            <w:tcW w:w="1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4"/>
        </w:trPr>
        <w:tc>
          <w:tcPr>
            <w:tcW w:w="68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00" w:type="dxa"/>
            <w:vAlign w:val="bottom"/>
          </w:tcPr>
          <w:p>
            <w:pPr>
              <w:spacing w:after="0"/>
              <w:rPr>
                <w:sz w:val="20"/>
                <w:szCs w:val="20"/>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August 31, 2020</w:t>
            </w:r>
          </w:p>
        </w:tc>
        <w:tc>
          <w:tcPr>
            <w:tcW w:w="240" w:type="dxa"/>
            <w:vAlign w:val="bottom"/>
          </w:tcPr>
          <w:p>
            <w:pPr>
              <w:spacing w:after="0"/>
              <w:rPr>
                <w:sz w:val="20"/>
                <w:szCs w:val="20"/>
                <w:color w:val="auto"/>
              </w:rPr>
            </w:pPr>
          </w:p>
        </w:tc>
        <w:tc>
          <w:tcPr>
            <w:tcW w:w="1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34"/>
        </w:trPr>
        <w:tc>
          <w:tcPr>
            <w:tcW w:w="6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Right-of-use-assets obtained in exchange for lease obligations:</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following table presents the lease balances relating to continuing operations within the Consolidated Balance Sheet, weighted-average remaining lease term, and weighted-average discount rates related to the Company’s operating leases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2019</w:t>
            </w:r>
          </w:p>
        </w:tc>
      </w:tr>
      <w:tr>
        <w:trPr>
          <w:trHeight w:val="34"/>
        </w:trPr>
        <w:tc>
          <w:tcPr>
            <w:tcW w:w="5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r>
      <w:tr>
        <w:trPr>
          <w:trHeight w:val="255"/>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1,359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760</w:t>
            </w:r>
          </w:p>
        </w:tc>
      </w:tr>
      <w:tr>
        <w:trPr>
          <w:trHeight w:val="229"/>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long-term</w:t>
            </w:r>
          </w:p>
        </w:tc>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634</w:t>
            </w:r>
          </w:p>
        </w:tc>
      </w:tr>
      <w:tr>
        <w:trPr>
          <w:trHeight w:val="248"/>
        </w:trPr>
        <w:tc>
          <w:tcPr>
            <w:tcW w:w="5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1,394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3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years</w:t>
            </w: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6.5 %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Operating leases above exclude right of use assets and liabilities of $0.3 million classified as held for sale in the Consolidated Balance Sheet as of December 31,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9180" w:type="dxa"/>
            <w:vAlign w:val="bottom"/>
            <w:gridSpan w:val="3"/>
          </w:tcPr>
          <w:p>
            <w:pPr>
              <w:spacing w:after="0"/>
              <w:rPr>
                <w:sz w:val="20"/>
                <w:szCs w:val="20"/>
                <w:color w:val="auto"/>
              </w:rPr>
            </w:pPr>
            <w:r>
              <w:rPr>
                <w:rFonts w:ascii="Arial" w:cs="Arial" w:eastAsia="Arial" w:hAnsi="Arial"/>
                <w:sz w:val="18"/>
                <w:szCs w:val="18"/>
                <w:color w:val="auto"/>
              </w:rPr>
              <w:t>Maturities of operating lease liabilities as of December 31, 2020 are as follows (in thousands):</w:t>
            </w: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906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380" w:type="dxa"/>
            <w:vAlign w:val="bottom"/>
          </w:tcPr>
          <w:p>
            <w:pPr>
              <w:spacing w:after="0"/>
              <w:rPr>
                <w:sz w:val="24"/>
                <w:szCs w:val="24"/>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34"/>
        </w:trPr>
        <w:tc>
          <w:tcPr>
            <w:tcW w:w="120" w:type="dxa"/>
            <w:vAlign w:val="bottom"/>
            <w:vMerge w:val="restart"/>
          </w:tcPr>
          <w:p>
            <w:pPr>
              <w:spacing w:after="0"/>
              <w:rPr>
                <w:sz w:val="2"/>
                <w:szCs w:val="2"/>
                <w:color w:val="auto"/>
              </w:rPr>
            </w:pPr>
          </w:p>
        </w:tc>
        <w:tc>
          <w:tcPr>
            <w:tcW w:w="89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20" w:type="dxa"/>
            <w:vAlign w:val="bottom"/>
            <w:vMerge w:val="continue"/>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operating lease payments</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9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had operating leases for medical device equipment generated from its Medical Devices segment. The Company’s leases had remaining lease terms of less than one to four years, some of which included options to extend the leases on a month-to-month basis if the customer did not notify the Company of the intention to return the equipment at the end of the lease term. The Company typically did not offer options to terminate the leases before the end of the lease term. The Medical Devices segment was spun-off on October 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under the Going Concern Basis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Eight Months Ended</w:t>
            </w:r>
          </w:p>
        </w:tc>
        <w:tc>
          <w:tcPr>
            <w:tcW w:w="240" w:type="dxa"/>
            <w:vAlign w:val="bottom"/>
          </w:tcPr>
          <w:p>
            <w:pPr>
              <w:spacing w:after="0"/>
              <w:rPr>
                <w:sz w:val="19"/>
                <w:szCs w:val="19"/>
                <w:color w:val="auto"/>
              </w:rPr>
            </w:pPr>
          </w:p>
        </w:tc>
        <w:tc>
          <w:tcPr>
            <w:tcW w:w="19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39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940" w:type="dxa"/>
            <w:vAlign w:val="bottom"/>
            <w:gridSpan w:val="2"/>
          </w:tcPr>
          <w:p>
            <w:pPr>
              <w:ind w:left="90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Pr>
          <w:p>
            <w:pPr>
              <w:spacing w:after="0"/>
              <w:rPr>
                <w:sz w:val="20"/>
                <w:szCs w:val="20"/>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August 31, 2020</w:t>
            </w:r>
          </w:p>
        </w:tc>
        <w:tc>
          <w:tcPr>
            <w:tcW w:w="240" w:type="dxa"/>
            <w:vAlign w:val="bottom"/>
          </w:tcPr>
          <w:p>
            <w:pPr>
              <w:spacing w:after="0"/>
              <w:rPr>
                <w:sz w:val="20"/>
                <w:szCs w:val="20"/>
                <w:color w:val="auto"/>
              </w:rPr>
            </w:pPr>
          </w:p>
        </w:tc>
        <w:tc>
          <w:tcPr>
            <w:tcW w:w="1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December 31, 2019</w:t>
            </w:r>
          </w:p>
        </w:tc>
      </w:tr>
      <w:tr>
        <w:trPr>
          <w:trHeight w:val="34"/>
        </w:trPr>
        <w:tc>
          <w:tcPr>
            <w:tcW w:w="3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r>
      <w:tr>
        <w:trPr>
          <w:trHeight w:val="23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r>
    </w:tbl>
    <w:p>
      <w:pPr>
        <w:spacing w:after="0" w:line="32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Under the Going Concern Basis, and prior to the spin-off of LENSAR, Equipment under lease was stated at cost less accumulated depreciation and was classified as Property and equipment, net on the Consolidated Balance Sheet. Depreciation was computed using the straight-line method over an estimated useful life of the greater of the lease term or five years to ten years. Equipment under lease was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20" w:type="dxa"/>
            <w:vAlign w:val="bottom"/>
          </w:tcPr>
          <w:p>
            <w:pPr>
              <w:spacing w:after="0"/>
              <w:rPr>
                <w:sz w:val="20"/>
                <w:szCs w:val="20"/>
                <w:color w:val="auto"/>
              </w:rPr>
            </w:pPr>
          </w:p>
        </w:tc>
        <w:tc>
          <w:tcPr>
            <w:tcW w:w="1900" w:type="dxa"/>
            <w:vAlign w:val="bottom"/>
          </w:tcPr>
          <w:p>
            <w:pPr>
              <w:ind w:left="120"/>
              <w:spacing w:after="0"/>
              <w:rPr>
                <w:sz w:val="20"/>
                <w:szCs w:val="20"/>
                <w:color w:val="auto"/>
              </w:rPr>
            </w:pPr>
            <w:r>
              <w:rPr>
                <w:rFonts w:ascii="Arial" w:cs="Arial" w:eastAsia="Arial" w:hAnsi="Arial"/>
                <w:sz w:val="18"/>
                <w:szCs w:val="18"/>
                <w:b w:val="1"/>
                <w:bCs w:val="1"/>
                <w:color w:val="auto"/>
              </w:rPr>
              <w:t>December 31, 2019</w:t>
            </w:r>
          </w:p>
        </w:tc>
      </w:tr>
      <w:tr>
        <w:trPr>
          <w:trHeight w:val="34"/>
        </w:trPr>
        <w:tc>
          <w:tcPr>
            <w:tcW w:w="9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r>
      <w:tr>
        <w:trPr>
          <w:trHeight w:val="229"/>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 under lease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88"/>
              </w:rPr>
              <w:t>6,652</w:t>
            </w:r>
          </w:p>
        </w:tc>
      </w:tr>
      <w:tr>
        <w:trPr>
          <w:trHeight w:val="230"/>
        </w:trPr>
        <w:tc>
          <w:tcPr>
            <w:tcW w:w="9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left="1230"/>
              <w:spacing w:after="0"/>
              <w:rPr>
                <w:sz w:val="20"/>
                <w:szCs w:val="20"/>
                <w:color w:val="auto"/>
              </w:rPr>
            </w:pPr>
            <w:r>
              <w:rPr>
                <w:rFonts w:ascii="Arial" w:cs="Arial" w:eastAsia="Arial" w:hAnsi="Arial"/>
                <w:sz w:val="18"/>
                <w:szCs w:val="18"/>
                <w:color w:val="auto"/>
                <w:w w:val="94"/>
              </w:rPr>
              <w:t>(5,231)</w:t>
            </w:r>
          </w:p>
        </w:tc>
      </w:tr>
      <w:tr>
        <w:trPr>
          <w:trHeight w:val="248"/>
        </w:trPr>
        <w:tc>
          <w:tcPr>
            <w:tcW w:w="9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Equipment under lease,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center"/>
              <w:ind w:left="1250"/>
              <w:spacing w:after="0"/>
              <w:rPr>
                <w:sz w:val="20"/>
                <w:szCs w:val="20"/>
                <w:color w:val="auto"/>
              </w:rPr>
            </w:pPr>
            <w:r>
              <w:rPr>
                <w:rFonts w:ascii="Arial" w:cs="Arial" w:eastAsia="Arial" w:hAnsi="Arial"/>
                <w:sz w:val="18"/>
                <w:szCs w:val="18"/>
                <w:color w:val="auto"/>
                <w:w w:val="88"/>
              </w:rPr>
              <w:t>1,421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expense on equipment under lease amounted to $1.0 million, $2.1 million and $2.7 million for the eight months ended August 31, 2020 and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11. Property and Equipment</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59"/>
        </w:trPr>
        <w:tc>
          <w:tcPr>
            <w:tcW w:w="9120" w:type="dxa"/>
            <w:vAlign w:val="bottom"/>
            <w:gridSpan w:val="2"/>
          </w:tcPr>
          <w:p>
            <w:pPr>
              <w:spacing w:after="0"/>
              <w:rPr>
                <w:sz w:val="20"/>
                <w:szCs w:val="20"/>
                <w:color w:val="auto"/>
              </w:rPr>
            </w:pPr>
            <w:r>
              <w:rPr>
                <w:rFonts w:ascii="Arial" w:cs="Arial" w:eastAsia="Arial" w:hAnsi="Arial"/>
                <w:sz w:val="18"/>
                <w:szCs w:val="18"/>
                <w:color w:val="auto"/>
              </w:rPr>
              <w:t>Property and equipment, net under the Going Concern Basis consisted of the following:</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51"/>
        </w:trPr>
        <w:tc>
          <w:tcPr>
            <w:tcW w:w="9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24"/>
                <w:szCs w:val="24"/>
                <w:color w:val="auto"/>
              </w:rPr>
            </w:pPr>
          </w:p>
        </w:tc>
        <w:tc>
          <w:tcPr>
            <w:tcW w:w="190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December 31, 2019</w:t>
            </w:r>
          </w:p>
        </w:tc>
      </w:tr>
      <w:tr>
        <w:trPr>
          <w:trHeight w:val="223"/>
        </w:trPr>
        <w:tc>
          <w:tcPr>
            <w:tcW w:w="9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Manufacturing equipment</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30"/>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w:t>
            </w:r>
          </w:p>
        </w:tc>
      </w:tr>
      <w:tr>
        <w:trPr>
          <w:trHeight w:val="229"/>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 under lease</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r>
      <w:tr>
        <w:trPr>
          <w:trHeight w:val="229"/>
        </w:trPr>
        <w:tc>
          <w:tcPr>
            <w:tcW w:w="9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Transportation equipment</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9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w:t>
            </w:r>
          </w:p>
        </w:tc>
      </w:tr>
      <w:tr>
        <w:trPr>
          <w:trHeight w:val="229"/>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(16,040)</w:t>
            </w:r>
          </w:p>
        </w:tc>
      </w:tr>
      <w:tr>
        <w:trPr>
          <w:trHeight w:val="229"/>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23"/>
        </w:trPr>
        <w:tc>
          <w:tcPr>
            <w:tcW w:w="9120" w:type="dxa"/>
            <w:vAlign w:val="bottom"/>
            <w:gridSpan w:val="2"/>
          </w:tcPr>
          <w:p>
            <w:pPr>
              <w:ind w:left="220"/>
              <w:spacing w:after="0" w:line="223"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(1) (2)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r>
      <w:tr>
        <w:trPr>
          <w:trHeight w:val="20"/>
        </w:trPr>
        <w:tc>
          <w:tcPr>
            <w:tcW w:w="9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340" w:hanging="332"/>
        <w:spacing w:after="0" w:line="227" w:lineRule="auto"/>
        <w:tabs>
          <w:tab w:leader="none" w:pos="20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 xml:space="preserve">The amounts above exclude $3.0 million of Property and Equipment at Noden classified as held for sale as of December 31, 2019. See Note 4, </w:t>
      </w:r>
      <w:r>
        <w:rPr>
          <w:rFonts w:ascii="Arial" w:cs="Arial" w:eastAsia="Arial" w:hAnsi="Arial"/>
          <w:sz w:val="18"/>
          <w:szCs w:val="18"/>
          <w:i w:val="1"/>
          <w:iCs w:val="1"/>
          <w:color w:val="auto"/>
        </w:rPr>
        <w:t>Discontinued Operations Classified as Assets Held for Sale</w:t>
      </w:r>
      <w:r>
        <w:rPr>
          <w:rFonts w:ascii="Arial" w:cs="Arial" w:eastAsia="Arial" w:hAnsi="Arial"/>
          <w:sz w:val="18"/>
          <w:szCs w:val="18"/>
          <w:color w:val="auto"/>
        </w:rPr>
        <w:t>, for additional information.</w:t>
      </w:r>
    </w:p>
    <w:p>
      <w:pPr>
        <w:spacing w:after="0" w:line="28"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The amounts above include amounts held by LENSAR which was spun-off on October 1, 2020.</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expense on property and equipment amounted to $1.0 million, $2.7 million and $3.1 million for the eight months ended August 31, 2020 and the years ended December 31, 2019 and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Noden</w:t>
      </w:r>
    </w:p>
    <w:p>
      <w:pPr>
        <w:spacing w:after="0" w:line="25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On June 8, 2018, Noden DAC entered into a Settlement Agreement (the “Settlement Agreement”) with Anchen Pharmaceuticals, Inc. and its affiliates (“Anchen”) to resolve the patent litigation relating to infringement of U.S. Patent No. 8,617,595 (the “‘595 Patent”) based on their submission of an Abbreviated New Drug Application (“ANDA”) seeking authorization from the FDA to market a generic version of aliskiren, the active ingredient in the Tekturna and Tekturna HCT drug. Under the Settlement Agreement, Anchen, the sole ANDA filer of which the Company is aware, agreed to not commercialize its generic version of aliskiren prior to March 1, 2019. Per the Settlement Agreement, Anchen may commercialize their formulation of aliskiren, but is not permitted to commercialize a copy of Tekturna.</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Accordingly, under the Going Concern Basis, management evaluated the ongoing value of the Noden DAC asset group based upon the probability of Anchen’s market entry of a generic version of aliskiren in the United States and the associated cash flows and conducted a test for impairment. Due to the increased probability of a generic version of aliskiren being launched in the United States, the Company revised its estimates of future cash flows and as a result of this analysis, determined that the sum of undiscounted cash flows was not greater than the carrying value of the assets. Therefore, the Company performed a discounted cash flow analysis to estimate the fair value of the asset group in accordance with ASC 360, </w:t>
      </w:r>
      <w:r>
        <w:rPr>
          <w:rFonts w:ascii="Arial" w:cs="Arial" w:eastAsia="Arial" w:hAnsi="Arial"/>
          <w:sz w:val="17"/>
          <w:szCs w:val="17"/>
          <w:i w:val="1"/>
          <w:iCs w:val="1"/>
          <w:color w:val="auto"/>
        </w:rPr>
        <w:t>Impairment or Disposal of Long-lived</w:t>
      </w:r>
      <w:r>
        <w:rPr>
          <w:rFonts w:ascii="Arial" w:cs="Arial" w:eastAsia="Arial" w:hAnsi="Arial"/>
          <w:sz w:val="17"/>
          <w:szCs w:val="17"/>
          <w:color w:val="auto"/>
        </w:rPr>
        <w:t xml:space="preserve"> </w:t>
      </w:r>
      <w:r>
        <w:rPr>
          <w:rFonts w:ascii="Arial" w:cs="Arial" w:eastAsia="Arial" w:hAnsi="Arial"/>
          <w:sz w:val="17"/>
          <w:szCs w:val="17"/>
          <w:i w:val="1"/>
          <w:iCs w:val="1"/>
          <w:color w:val="auto"/>
        </w:rPr>
        <w:t>Assets</w:t>
      </w:r>
      <w:r>
        <w:rPr>
          <w:rFonts w:ascii="Arial" w:cs="Arial" w:eastAsia="Arial" w:hAnsi="Arial"/>
          <w:sz w:val="17"/>
          <w:szCs w:val="17"/>
          <w:color w:val="auto"/>
        </w:rPr>
        <w:t>. The cash flows used in this analysis were those expected to be generated by market participants, discounted to reflect an appropriate amount of risk,</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determined to be 21%. The Company concluded that the Noden DAC acquired product rights and customer relationship long-lived assets, with a carrying amount of $192.5 million, were no longer recoverable and wrote them down to their estimated fair value of $40.1 million, resulting in an impairment charge of $152.3 million in the second quarter of 2018. This write-down is included in Loss from discontinued operations before income taxes in the Consolidated Statement of Operations and Net cash used in operating activities - discontinued operations in the Consolidated Statement of Cash Flows for the year ended December 31, 2018.</w:t>
      </w:r>
    </w:p>
    <w:p>
      <w:pPr>
        <w:spacing w:after="0" w:line="20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At December 31, 2019, due to the Company’s monetization strategy and updated forecasts for Noden, the Company revised its estimates of future cash flows and as a result of this analysis, determined that the sum of undiscounted cash flows was not greater than the carrying value of the assets. Therefore, the Company performed a discounted cash flow analysis to estimate the fair value of the asset group in accordance with ASC 360. The cash flows used in this analysis were those expected to be generated by market participants, discounted to reflect an appropriate amount of risk, which was determined to be 19%. The Company concluded that the Noden DAC acquired product rights and customer relationship long-lived assets, with a carrying amount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9" w:name="page80"/>
    <w:bookmarkEnd w:id="79"/>
    <w:p>
      <w:pPr>
        <w:spacing w:after="0" w:line="259" w:lineRule="auto"/>
        <w:rPr>
          <w:sz w:val="20"/>
          <w:szCs w:val="20"/>
          <w:color w:val="auto"/>
        </w:rPr>
      </w:pPr>
      <w:r>
        <w:rPr>
          <w:rFonts w:ascii="Arial" w:cs="Arial" w:eastAsia="Arial" w:hAnsi="Arial"/>
          <w:sz w:val="18"/>
          <w:szCs w:val="18"/>
          <w:color w:val="auto"/>
        </w:rPr>
        <w:t>$32.6 million, were no longer recoverable and wrote them down to their estimated fair value of $10.1 million, resulting in an impairment charge of $22.5 million in the fourth quarter of 2019. This write-down is included in Loss from discontinued operations before income taxes in the Consolidated Statement of Operations and Net cash used in operating activities - discontinued operations in the Consolidated Statement of Cash Flows for the year ended December 31, 2019.</w:t>
      </w:r>
    </w:p>
    <w:p>
      <w:pPr>
        <w:spacing w:after="0" w:line="21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During the fourth quarter of 2019, while performing its impairment analysis on its Noden intangible assets, the Company identified an error in the 2018 impairment charge recorded on its Noden intangible assets, which resulted in a $10.5 million overstatement of the 2018 impairment charge. As of December 31, 2018, the net carrying value of the intangible asset was understated by $9.8 million with a corresponding overstatement of net loss for the year ended December 31, 2018. This prior year impairment expense error was corrected as an out of period adjustment in 2019 in connection with the further impairment of the intangible asset to $10.1 million.</w:t>
      </w:r>
    </w:p>
    <w:p>
      <w:pPr>
        <w:spacing w:after="0" w:line="215"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 xml:space="preserve">Based on an analysis of Accounting Standards Codification (“ASC”) 250,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(“ASC 250”), Staff Accounting Bulletin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(“SAB 99”) and Staff Accounting Bulletin 108, </w:t>
      </w:r>
      <w:r>
        <w:rPr>
          <w:rFonts w:ascii="Arial" w:cs="Arial" w:eastAsia="Arial" w:hAnsi="Arial"/>
          <w:sz w:val="16"/>
          <w:szCs w:val="16"/>
          <w:i w:val="1"/>
          <w:iCs w:val="1"/>
          <w:color w:val="auto"/>
        </w:rPr>
        <w:t>Considering the Effects of Prior Year Misstatements when Quantifying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in Current Year Financial Statements </w:t>
      </w:r>
      <w:r>
        <w:rPr>
          <w:rFonts w:ascii="Arial" w:cs="Arial" w:eastAsia="Arial" w:hAnsi="Arial"/>
          <w:sz w:val="16"/>
          <w:szCs w:val="16"/>
          <w:color w:val="auto"/>
        </w:rPr>
        <w:t>(“SAB 108”), the Company determined that these errors were immaterial to the previously issued</w:t>
      </w:r>
      <w:r>
        <w:rPr>
          <w:rFonts w:ascii="Arial" w:cs="Arial" w:eastAsia="Arial" w:hAnsi="Arial"/>
          <w:sz w:val="16"/>
          <w:szCs w:val="16"/>
          <w:i w:val="1"/>
          <w:iCs w:val="1"/>
          <w:color w:val="auto"/>
        </w:rPr>
        <w:t xml:space="preserve"> </w:t>
      </w:r>
      <w:r>
        <w:rPr>
          <w:rFonts w:ascii="Arial" w:cs="Arial" w:eastAsia="Arial" w:hAnsi="Arial"/>
          <w:sz w:val="16"/>
          <w:szCs w:val="16"/>
          <w:color w:val="auto"/>
        </w:rPr>
        <w:t>annual and interim financial statements. The amount of the intangible assets and accumulated amortization were corrected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LENSAR</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April 2019, LENSAR acquired certain intellectual property from a third-party for $2.0 million in cash and obligations to pay a $0.3 million milestone payment and royalties upon the completion of certain events, which were met prior to December 31, 2019.</w:t>
      </w:r>
    </w:p>
    <w:p>
      <w:pPr>
        <w:spacing w:after="0" w:line="19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September 2019, LENSAR exclusively licensed certain intellectual property from a third-party for $3.5 million in cash for use in research and development activities. The amount was immediately expensed and is included in Research and development expense in the Consolidated Statement of Operations for the year ended 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LENSAR was spun-off on October 1, 2020.</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6040" w:type="dxa"/>
            <w:vAlign w:val="bottom"/>
            <w:gridSpan w:val="2"/>
          </w:tcPr>
          <w:p>
            <w:pPr>
              <w:spacing w:after="0"/>
              <w:rPr>
                <w:sz w:val="20"/>
                <w:szCs w:val="20"/>
                <w:color w:val="auto"/>
              </w:rPr>
            </w:pPr>
            <w:r>
              <w:rPr>
                <w:rFonts w:ascii="Arial" w:cs="Arial" w:eastAsia="Arial" w:hAnsi="Arial"/>
                <w:sz w:val="18"/>
                <w:szCs w:val="18"/>
                <w:color w:val="auto"/>
                <w:w w:val="95"/>
              </w:rPr>
              <w:t>The components of intangible assets as of December 31, 2019 were as follows: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1"/>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69"/>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1"/>
              </w:rPr>
              <w:t>Gross Carrying</w:t>
            </w:r>
          </w:p>
        </w:tc>
        <w:tc>
          <w:tcPr>
            <w:tcW w:w="100" w:type="dxa"/>
            <w:vAlign w:val="bottom"/>
          </w:tcPr>
          <w:p>
            <w:pPr>
              <w:spacing w:after="0"/>
              <w:rPr>
                <w:sz w:val="14"/>
                <w:szCs w:val="14"/>
                <w:color w:val="auto"/>
              </w:rPr>
            </w:pPr>
          </w:p>
        </w:tc>
        <w:tc>
          <w:tcPr>
            <w:tcW w:w="166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4"/>
                <w:szCs w:val="14"/>
                <w:color w:val="auto"/>
              </w:rPr>
            </w:pPr>
          </w:p>
        </w:tc>
        <w:tc>
          <w:tcPr>
            <w:tcW w:w="146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Net Carrying</w:t>
            </w:r>
          </w:p>
        </w:tc>
      </w:tr>
      <w:tr>
        <w:trPr>
          <w:trHeight w:val="230"/>
        </w:trPr>
        <w:tc>
          <w:tcPr>
            <w:tcW w:w="60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9"/>
                <w:szCs w:val="19"/>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Amount</w:t>
            </w:r>
          </w:p>
        </w:tc>
      </w:tr>
      <w:tr>
        <w:trPr>
          <w:trHeight w:val="223"/>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Finite-lived intangible assets:</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30"/>
        </w:trPr>
        <w:tc>
          <w:tcPr>
            <w:tcW w:w="60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23"/>
                <w:szCs w:val="23"/>
                <w:color w:val="auto"/>
                <w:vertAlign w:val="superscript"/>
              </w:rPr>
              <w:t>1, 3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30"/>
        </w:trPr>
        <w:tc>
          <w:tcPr>
            <w:tcW w:w="604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Acquired technology </w:t>
            </w:r>
            <w:r>
              <w:rPr>
                <w:rFonts w:ascii="Arial" w:cs="Arial" w:eastAsia="Arial" w:hAnsi="Arial"/>
                <w:sz w:val="23"/>
                <w:szCs w:val="23"/>
                <w:color w:val="auto"/>
                <w:vertAlign w:val="superscript"/>
              </w:rPr>
              <w:t>1, 2, 4</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9,759</w:t>
            </w:r>
          </w:p>
        </w:tc>
      </w:tr>
      <w:tr>
        <w:trPr>
          <w:trHeight w:val="230"/>
        </w:trPr>
        <w:tc>
          <w:tcPr>
            <w:tcW w:w="60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Acquired trademarks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3"/>
        </w:trPr>
        <w:tc>
          <w:tcPr>
            <w:tcW w:w="60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13,186</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820" w:right="300" w:hanging="164"/>
        <w:spacing w:after="0" w:line="249" w:lineRule="auto"/>
        <w:tabs>
          <w:tab w:leader="none" w:pos="761"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The Company acquired certain intangible assets as part of its acquisition of LENSAR in May 2017. These assets were being amortized on a straight-line basis over a weighted-average period of 15 years. The intangible assets for customer relationships were being amortized using a double-declining method of amortization as such method better represents the economic benefits to be obtained.</w:t>
      </w:r>
    </w:p>
    <w:p>
      <w:pPr>
        <w:spacing w:after="0" w:line="34" w:lineRule="exact"/>
        <w:rPr>
          <w:sz w:val="20"/>
          <w:szCs w:val="20"/>
          <w:color w:val="auto"/>
        </w:rPr>
      </w:pPr>
    </w:p>
    <w:p>
      <w:pPr>
        <w:ind w:left="820" w:right="160" w:hanging="164"/>
        <w:spacing w:after="0" w:line="238" w:lineRule="auto"/>
        <w:tabs>
          <w:tab w:leader="none" w:pos="761"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The Company acquired certain intangible assets as part of the foreclosure on certain of Direct Flow Medical assets. In August 2019, the Company sold the DFM, LLC intangible assets for $5.0 million in cash and a single-digit percentage of any net final award received as part of the acquirer’s monetization process using the intangible assets. Prior to the sale, these intangible assets were being amortized on a straight-line basis over a weighted-average period of 10 years.</w:t>
      </w:r>
    </w:p>
    <w:p>
      <w:pPr>
        <w:spacing w:after="0" w:line="40" w:lineRule="exact"/>
        <w:rPr>
          <w:sz w:val="20"/>
          <w:szCs w:val="20"/>
          <w:color w:val="auto"/>
        </w:rPr>
      </w:pPr>
    </w:p>
    <w:p>
      <w:pPr>
        <w:ind w:left="820" w:right="60" w:hanging="164"/>
        <w:spacing w:after="0" w:line="227" w:lineRule="auto"/>
        <w:tabs>
          <w:tab w:leader="none" w:pos="746"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LENSAR acquired certain intangible assets for customer relationships from Precision Eye Services, which were being amortized using a double-declining method over a period of 20 years.</w:t>
      </w:r>
    </w:p>
    <w:p>
      <w:pPr>
        <w:spacing w:after="0" w:line="40" w:lineRule="exact"/>
        <w:rPr>
          <w:sz w:val="20"/>
          <w:szCs w:val="20"/>
          <w:color w:val="auto"/>
        </w:rPr>
      </w:pPr>
    </w:p>
    <w:p>
      <w:pPr>
        <w:ind w:left="820" w:right="220" w:hanging="164"/>
        <w:spacing w:after="0" w:line="227" w:lineRule="auto"/>
        <w:tabs>
          <w:tab w:leader="none" w:pos="746"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LENSAR acquired certain intangible assets from a third-party in 2019, which were being amortized on a straight-line basis over a period of 15 years.</w:t>
      </w:r>
    </w:p>
    <w:p>
      <w:pPr>
        <w:spacing w:after="0" w:line="40" w:lineRule="exact"/>
        <w:rPr>
          <w:sz w:val="20"/>
          <w:szCs w:val="20"/>
          <w:color w:val="auto"/>
        </w:rPr>
      </w:pPr>
    </w:p>
    <w:p>
      <w:pPr>
        <w:ind w:left="820" w:right="100" w:hanging="164"/>
        <w:spacing w:after="0" w:line="234" w:lineRule="auto"/>
        <w:tabs>
          <w:tab w:leader="none" w:pos="806"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 xml:space="preserve">The Company acquired certain intangible assets as part of the Noden transaction. Those intangible assets are excluded from the table above and included in “Assets held for sale” as of December 31, 2019. See Note 4, </w:t>
      </w:r>
      <w:r>
        <w:rPr>
          <w:rFonts w:ascii="Arial" w:cs="Arial" w:eastAsia="Arial" w:hAnsi="Arial"/>
          <w:sz w:val="18"/>
          <w:szCs w:val="18"/>
          <w:i w:val="1"/>
          <w:iCs w:val="1"/>
          <w:color w:val="auto"/>
        </w:rPr>
        <w:t>Discontinued Operations Classified as Assets Held for Sale</w:t>
      </w:r>
      <w:r>
        <w:rPr>
          <w:rFonts w:ascii="Arial" w:cs="Arial" w:eastAsia="Arial" w:hAnsi="Arial"/>
          <w:sz w:val="18"/>
          <w:szCs w:val="18"/>
          <w:color w:val="auto"/>
        </w:rPr>
        <w:t>, for additional information.</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80" w:name="page81"/>
    <w:bookmarkEnd w:id="80"/>
    <w:p>
      <w:pPr>
        <w:ind w:right="180"/>
        <w:spacing w:after="0" w:line="277" w:lineRule="auto"/>
        <w:rPr>
          <w:sz w:val="20"/>
          <w:szCs w:val="20"/>
          <w:color w:val="auto"/>
        </w:rPr>
      </w:pPr>
      <w:r>
        <w:rPr>
          <w:rFonts w:ascii="Arial" w:cs="Arial" w:eastAsia="Arial" w:hAnsi="Arial"/>
          <w:sz w:val="18"/>
          <w:szCs w:val="18"/>
          <w:color w:val="auto"/>
        </w:rPr>
        <w:t>Amortization expense related to our continuing operations for the eight months ended August 31, 2020 and the years ended December 31, 2019 and 2018 was $0.8 million, $1.3 million and $1.3 million,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3"/>
          </w:tcPr>
          <w:p>
            <w:pPr>
              <w:spacing w:after="0"/>
              <w:rPr>
                <w:sz w:val="20"/>
                <w:szCs w:val="20"/>
                <w:color w:val="auto"/>
              </w:rPr>
            </w:pPr>
            <w:r>
              <w:rPr>
                <w:rFonts w:ascii="Arial" w:cs="Arial" w:eastAsia="Arial" w:hAnsi="Arial"/>
                <w:sz w:val="18"/>
                <w:szCs w:val="18"/>
                <w:b w:val="1"/>
                <w:bCs w:val="1"/>
                <w:color w:val="auto"/>
              </w:rPr>
              <w:t>13. Accrued Liabilities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9220" w:type="dxa"/>
            <w:vAlign w:val="bottom"/>
            <w:gridSpan w:val="3"/>
          </w:tcPr>
          <w:p>
            <w:pPr>
              <w:spacing w:after="0"/>
              <w:rPr>
                <w:sz w:val="20"/>
                <w:szCs w:val="20"/>
                <w:color w:val="auto"/>
              </w:rPr>
            </w:pPr>
            <w:r>
              <w:rPr>
                <w:rFonts w:ascii="Arial" w:cs="Arial" w:eastAsia="Arial" w:hAnsi="Arial"/>
                <w:sz w:val="18"/>
                <w:szCs w:val="18"/>
                <w:color w:val="auto"/>
              </w:rPr>
              <w:t>Accrued liabilities under the Going Concern Basis consisted of the following:</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1"/>
        </w:trPr>
        <w:tc>
          <w:tcPr>
            <w:tcW w:w="8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34"/>
        </w:trPr>
        <w:tc>
          <w:tcPr>
            <w:tcW w:w="80" w:type="dxa"/>
            <w:vAlign w:val="bottom"/>
          </w:tcPr>
          <w:p>
            <w:pPr>
              <w:spacing w:after="0"/>
              <w:rPr>
                <w:sz w:val="2"/>
                <w:szCs w:val="2"/>
                <w:color w:val="auto"/>
              </w:rPr>
            </w:pPr>
          </w:p>
        </w:tc>
        <w:tc>
          <w:tcPr>
            <w:tcW w:w="9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r>
      <w:tr>
        <w:trPr>
          <w:trHeight w:val="230"/>
        </w:trPr>
        <w:tc>
          <w:tcPr>
            <w:tcW w:w="80" w:type="dxa"/>
            <w:vAlign w:val="bottom"/>
          </w:tcPr>
          <w:p>
            <w:pPr>
              <w:spacing w:after="0"/>
              <w:rPr>
                <w:sz w:val="19"/>
                <w:szCs w:val="19"/>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rebates, chargebacks and other revenue reserves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9"/>
        </w:trPr>
        <w:tc>
          <w:tcPr>
            <w:tcW w:w="80" w:type="dxa"/>
            <w:vAlign w:val="bottom"/>
          </w:tcPr>
          <w:p>
            <w:pPr>
              <w:spacing w:after="0"/>
              <w:rPr>
                <w:sz w:val="19"/>
                <w:szCs w:val="19"/>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r>
      <w:tr>
        <w:trPr>
          <w:trHeight w:val="230"/>
        </w:trPr>
        <w:tc>
          <w:tcPr>
            <w:tcW w:w="8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0" w:type="dxa"/>
            <w:vAlign w:val="bottom"/>
          </w:tcPr>
          <w:p>
            <w:pPr>
              <w:spacing w:after="0"/>
              <w:rPr>
                <w:sz w:val="19"/>
                <w:szCs w:val="19"/>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30"/>
        </w:trPr>
        <w:tc>
          <w:tcPr>
            <w:tcW w:w="80" w:type="dxa"/>
            <w:vAlign w:val="bottom"/>
          </w:tcPr>
          <w:p>
            <w:pPr>
              <w:spacing w:after="0"/>
              <w:rPr>
                <w:sz w:val="19"/>
                <w:szCs w:val="19"/>
                <w:color w:val="auto"/>
              </w:rPr>
            </w:pPr>
          </w:p>
        </w:tc>
        <w:tc>
          <w:tcPr>
            <w:tcW w:w="9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r>
      <w:tr>
        <w:trPr>
          <w:trHeight w:val="248"/>
        </w:trPr>
        <w:tc>
          <w:tcPr>
            <w:tcW w:w="80" w:type="dxa"/>
            <w:vAlign w:val="bottom"/>
          </w:tcPr>
          <w:p>
            <w:pPr>
              <w:spacing w:after="0"/>
              <w:rPr>
                <w:sz w:val="21"/>
                <w:szCs w:val="21"/>
                <w:color w:val="auto"/>
              </w:rPr>
            </w:pPr>
          </w:p>
        </w:tc>
        <w:tc>
          <w:tcPr>
            <w:tcW w:w="9140" w:type="dxa"/>
            <w:vAlign w:val="bottom"/>
            <w:tcBorders>
              <w:bottom w:val="single" w:sz="8" w:color="CCEEFF"/>
            </w:tcBorders>
            <w:gridSpan w:val="2"/>
            <w:shd w:val="clear" w:color="auto" w:fill="CCEEFF"/>
          </w:tcPr>
          <w:p>
            <w:pPr>
              <w:ind w:left="200"/>
              <w:spacing w:after="0" w:line="223" w:lineRule="exact"/>
              <w:rPr>
                <w:sz w:val="20"/>
                <w:szCs w:val="20"/>
                <w:color w:val="auto"/>
              </w:rPr>
            </w:pPr>
            <w:r>
              <w:rPr>
                <w:rFonts w:ascii="Arial" w:cs="Arial" w:eastAsia="Arial" w:hAnsi="Arial"/>
                <w:sz w:val="25"/>
                <w:szCs w:val="25"/>
                <w:color w:val="auto"/>
                <w:vertAlign w:val="subscript"/>
              </w:rPr>
              <w:t>Total</w:t>
            </w:r>
            <w:r>
              <w:rPr>
                <w:rFonts w:ascii="Arial" w:cs="Arial" w:eastAsia="Arial" w:hAnsi="Arial"/>
                <w:sz w:val="10"/>
                <w:szCs w:val="10"/>
                <w:color w:val="auto"/>
              </w:rPr>
              <w:t xml:space="preserve"> (1) (2)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11,923</w:t>
            </w:r>
          </w:p>
        </w:tc>
      </w:tr>
      <w:tr>
        <w:trPr>
          <w:trHeight w:val="20"/>
        </w:trPr>
        <w:tc>
          <w:tcPr>
            <w:tcW w:w="80" w:type="dxa"/>
            <w:vAlign w:val="bottom"/>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340" w:hanging="332"/>
        <w:spacing w:after="0" w:line="267" w:lineRule="auto"/>
        <w:tabs>
          <w:tab w:leader="none" w:pos="181"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 xml:space="preserve">The amounts above exclude $16.4 million of accrued liabilities at Noden classified as held for sale as of December 31, 2019. See Note 4, </w:t>
      </w:r>
      <w:r>
        <w:rPr>
          <w:rFonts w:ascii="Arial" w:cs="Arial" w:eastAsia="Arial" w:hAnsi="Arial"/>
          <w:sz w:val="16"/>
          <w:szCs w:val="16"/>
          <w:i w:val="1"/>
          <w:iCs w:val="1"/>
          <w:color w:val="auto"/>
        </w:rPr>
        <w:t>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Classified as Assets Held for Sale</w:t>
      </w:r>
      <w:r>
        <w:rPr>
          <w:rFonts w:ascii="Arial" w:cs="Arial" w:eastAsia="Arial" w:hAnsi="Arial"/>
          <w:sz w:val="16"/>
          <w:szCs w:val="16"/>
          <w:color w:val="auto"/>
        </w:rPr>
        <w:t>, for additional information.</w:t>
      </w:r>
    </w:p>
    <w:p>
      <w:pPr>
        <w:spacing w:after="0" w:line="1"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The amounts above include amounts held by LENSAR which was spun-off on October 1, 2020.</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Upon adoption of the Liquidation Basis, the Company accrued for all estimated cash expenditures. These expenses include $9.3 million in accrued compensation and benefit costs, $9.0 million in deferred tax liabilities (see Note 23, I</w:t>
      </w:r>
      <w:r>
        <w:rPr>
          <w:rFonts w:ascii="Arial" w:cs="Arial" w:eastAsia="Arial" w:hAnsi="Arial"/>
          <w:sz w:val="17"/>
          <w:szCs w:val="17"/>
          <w:i w:val="1"/>
          <w:iCs w:val="1"/>
          <w:color w:val="auto"/>
        </w:rPr>
        <w:t>ncome Taxes</w:t>
      </w:r>
      <w:r>
        <w:rPr>
          <w:rFonts w:ascii="Arial" w:cs="Arial" w:eastAsia="Arial" w:hAnsi="Arial"/>
          <w:sz w:val="17"/>
          <w:szCs w:val="17"/>
          <w:color w:val="auto"/>
        </w:rPr>
        <w:t xml:space="preserve">, for additional information), $4.0 million in estimated costs to dispose of the Assertio asset and $7.3 million in estimated future expenses related to operating the business through dissolution and settlement of future liabilities. Amounts include estimated compensation, legal and other professional fees, insurance, taxes, estimated costs to dispose of our assets and other miscellaneous expenses. For additional information, see Note 3, </w:t>
      </w:r>
      <w:r>
        <w:rPr>
          <w:rFonts w:ascii="Arial" w:cs="Arial" w:eastAsia="Arial" w:hAnsi="Arial"/>
          <w:sz w:val="17"/>
          <w:szCs w:val="17"/>
          <w:i w:val="1"/>
          <w:iCs w:val="1"/>
          <w:color w:val="auto"/>
        </w:rPr>
        <w:t>Net Assets in Liquidation</w:t>
      </w:r>
      <w:r>
        <w:rPr>
          <w:rFonts w:ascii="Arial" w:cs="Arial" w:eastAsia="Arial" w:hAnsi="Arial"/>
          <w:sz w:val="17"/>
          <w:szCs w:val="17"/>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Convertible Senior Notes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2018 Notes</w:t>
      </w:r>
    </w:p>
    <w:p>
      <w:pPr>
        <w:spacing w:after="0" w:line="25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On February 12, 2014, the Company issued $300.0 million in aggregate principal amount, at par, of the 4.0% Convertible Senior Notes due February 1, 2018 (the “February 2018 Notes”) Notes in an underwritten public offering, for net proceeds of $290.2 million. The February 2018 Notes were due February 1, 2018, and the Company paid interest at 4.0% on the February 2018 Notes semiannually in arrears on February 1 and August 1 of each year, beginning August 1, 2014. A portion of the proceeds from the February 2018 Notes, net of amounts used for purchased call option transactions and provided by the warrant transactions described below, were used to redeem $131.7 million of the Company’s 2.975% Convertible Senior Notes due February 17, 2016.</w:t>
      </w:r>
    </w:p>
    <w:p>
      <w:pPr>
        <w:spacing w:after="0" w:line="21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accordance with the accounting guidance for convertible debt instruments that may be settled in cash or other assets on conversion, the Company was required to separately account for the liability component of the instrument in a manner that reflected the market interest rate for a similar nonconvertible instrument at the date of issuance. As a result, the Company separated the principal balance of the February 2018 Notes between the fair value of the debt component and the fair value of the common stock conversion feature. Using an assumed borrowing rate of 7.0%, which represented the estimated market interest rate for a similar nonconvertible instrument available to the Company on the date of issuance, the Company recorded a total debt discount of $29.7 million, allocated $19.3 million to additional paid-in capital and allocated $10.4 million to deferred tax liability. The discount was being amortized to interest expense over the term of the February 2018 Notes and increased interest expense during the term of the February 2018 Notes from the 4.0% cash coupon interest rate to an effective interest rate of 6.9%.</w:t>
      </w:r>
    </w:p>
    <w:p>
      <w:pPr>
        <w:spacing w:after="0" w:line="20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connection with the issuance of the February 2018 Notes, the Company entered into purchased call option transactions with two hedge counterparties. The Company paid an aggregate amount of $31.0 million for the purchased call options with terms substantially similar to the embedded conversion options in the February 2018 Notes. The purchased call options covered, subject to anti-dilution and certain other customary adjustments substantially similar to those in the February 2018 Notes, approximately 13.8 million shares of the Company’s common stock. Outstanding purchased call options expired on February 1, 2018.</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 Company sold to the hedge counterparties warrants exercisable, on a cashless basis, for the sale of rights to receive shares of common stock underlying the February 2018 Notes at a strike price of $10.3610 per share, which represented a</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81" w:name="page82"/>
    <w:bookmarkEnd w:id="81"/>
    <w:p>
      <w:pPr>
        <w:ind w:right="60"/>
        <w:spacing w:after="0" w:line="277" w:lineRule="auto"/>
        <w:rPr>
          <w:sz w:val="20"/>
          <w:szCs w:val="20"/>
          <w:color w:val="auto"/>
        </w:rPr>
      </w:pPr>
      <w:r>
        <w:rPr>
          <w:rFonts w:ascii="Arial" w:cs="Arial" w:eastAsia="Arial" w:hAnsi="Arial"/>
          <w:sz w:val="18"/>
          <w:szCs w:val="18"/>
          <w:color w:val="auto"/>
        </w:rPr>
        <w:t>premium of approximately 30% over the last reported sale price of the Company’s common stock of $7.97 on February 6, 2014. The Company received an aggregate amount of $11.4 million for the sale from the two counterparties.</w:t>
      </w:r>
    </w:p>
    <w:p>
      <w:pPr>
        <w:spacing w:after="0" w:line="19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purchased call options and warrants were considered indexed to the Company stock, required net-share settlement and met all criteria for equity classification at inception and in subsequent periods. The purchased call options cost of $31.0 million less deferred taxes of $10.8 million, and the $11.4 million received for the warrants, were recorded as adjustments to additional paid-in capital.</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November 20, 2015, the Company’s agent initiated the repurchase of $53.6 million in aggregate principal amount of its February 2018 Notes for $43.7 million in cash in four open market transactions. The closing of these transactions occurred on November 30, 2015. It was determined that the repurchase of the principal amount should be accounted for as a partial extinguishment of the February 2018 Notes. As a result, a gain on extinguishment of $6.5 million was recorded at closing of the transaction. The $6.5 million gain on extinguishment included the de-recognition of a proportional share of the original issuance discount of $3.1 million, outstanding deferred issuance costs of $0.9 million and agent fees of $0.1 million. In connection with this repurchase of the February 2018 Notes, the Company unwound a corresponding portion of the purchased call options related to the notes. As a result of this unwinding, the Company received $0.3 million in cash. The payments received have been recorded as an increase to additional paid-in-capital. In addition, the Company unwound a corresponding portion of the warrants issued in connection with the notes for $0.2 million in cash, payable by the Company. The payments have been recorded as a decrease to additional paid-in-capital.</w:t>
      </w:r>
    </w:p>
    <w:p>
      <w:pPr>
        <w:spacing w:after="0" w:line="2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November 22, 2016, the Company repurchased $120.0 million in aggregate principal amount of its February 2018 Notes for approximately $121.5 million in cash (including $1.5 million of accrued interest) in open market transactions. It was determined that the repurchase of the principal amount be accounted for as an extinguishment. The extinguishment included the de-recognition of a proportional share of the original issuance discount of $4.3 million and outstanding deferred issuance costs of $1.3 million. In connection with the repurchase of the February 2018 Notes, the Company unwound a corresponding portion of the purchased call options. The transaction did not result in any cash payments between the parties. In addition, the Company and the counterparties agreed to unwind a corresponding portion of the warrants, which also did not result in any cash payments between the parties.</w:t>
      </w:r>
    </w:p>
    <w:p>
      <w:pPr>
        <w:spacing w:after="0" w:line="19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February 1, 2018, upon maturity of the February 2018 Notes, the Company repaid a total cash amount of $129.0 million to the custodian, The Bank of New York Mellon Trust Company, N.A., which was comprised of $126.4 million in principal amount and $2.6 million in accrued interest, to retire the February 2018 Notes.</w:t>
      </w:r>
    </w:p>
    <w:p>
      <w:pPr>
        <w:sectPr>
          <w:pgSz w:w="11900" w:h="16838" w:orient="portrait"/>
          <w:cols w:equalWidth="0" w:num="1">
            <w:col w:w="11220"/>
          </w:cols>
          <w:pgMar w:left="320" w:top="935" w:right="3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February 2018 Notes on the Company’s Consolidated Statements of Operations was as follows:</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58718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Contractual coupon interest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debt discount</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2021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12001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83"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422</w:t>
      </w:r>
    </w:p>
    <w:p>
      <w:pPr>
        <w:spacing w:after="0" w:line="9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200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7"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53975</wp:posOffset>
            </wp:positionV>
            <wp:extent cx="1200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12001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855" w:lineRule="exact"/>
        <w:rPr>
          <w:sz w:val="20"/>
          <w:szCs w:val="20"/>
          <w:color w:val="auto"/>
        </w:rPr>
      </w:pPr>
    </w:p>
    <w:p>
      <w:pPr>
        <w:sectPr>
          <w:pgSz w:w="11900" w:h="16838" w:orient="portrait"/>
          <w:cols w:equalWidth="0" w:num="2">
            <w:col w:w="8640" w:space="720"/>
            <w:col w:w="1860"/>
          </w:cols>
          <w:pgMar w:left="320" w:top="935" w:right="359" w:bottom="1440" w:gutter="0" w:footer="0" w:header="0"/>
          <w:type w:val="continuous"/>
        </w:sectPr>
      </w:pPr>
    </w:p>
    <w:p>
      <w:pPr>
        <w:spacing w:after="0" w:line="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November 22, 2016, the Company issued $150.0 million in aggregate principal amount, at par, of 2.75% Convertible Senior Notes due December 1, 2021 (the “December 2021 Notes”) in an underwritten public offering, for net proceeds of $145.7 million. The December 2021 Notes are due December 1, 2021, and the Company pays interest at 2.75% on the December 2021 Notes semiannually in arrears on June 1 and December 1 of each year, beginning June 1, 2017. A portion of the proceeds from the December 2021 Notes, net of amounts used for the capped call transaction described below, was used to extinguish $120.0 million of the February 2018 Notes.</w:t>
      </w:r>
    </w:p>
    <w:p>
      <w:pPr>
        <w:spacing w:after="0" w:line="21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September 2019, the Company entered into privately negotiated exchange agreements with certain holders of approximately $86.1 million aggregate principal amount of outstanding December 2021 Notes. The Company exchanged $86.1 million aggregate principal of December 2021 Notes for an identical principal amount of 2.75% Convertible Senior Notes due December 1, 2024 (the “December 2024 Notes”), plus a cash payment of $70.00 for each $1,000 principal amount tendered (“September</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auto"/>
        </w:rPr>
        <w:t>2019 Exchange Transaction”). See “December 2024 Notes” below. The terms of the remaining December 2021 Notes remained unchanged.</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September 2019 Exchange Transaction qualified as a debt extinguishment and the Company recognized a loss on exchange of the convertible notes of $3.9 million, which is included in Non-operating income (expense), net in the Consolidated Statement of Operations for the year ended December 31, 2019.</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Upon the occurrence of a fundamental change, as defined in the indenture entered into in connection with the December 2021 Notes (the “December 2021 Notes Indenture”), holders have the option to require the Company to repurchase their December 2021 Notes at a purchase price equal to 100% of the principal, plus accrued interest.</w:t>
      </w:r>
    </w:p>
    <w:p>
      <w:pPr>
        <w:spacing w:after="0" w:line="21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Prior to the delisting of its common stock, the December 2021 Notes were convertible into PDL common stock upon the occurrence of specified corporate events as described in the December 2021 Notes Indenture or under either of the following circumstances at any time prior to the close of business on the business day immediately preceding June 1, 2021 (or at any time beginning on June 1, 2021 until the close of business on the second scheduled trading day immediately preceding the stated maturity):</w:t>
      </w:r>
    </w:p>
    <w:p>
      <w:pPr>
        <w:spacing w:after="0" w:line="26" w:lineRule="exact"/>
        <w:rPr>
          <w:sz w:val="20"/>
          <w:szCs w:val="20"/>
          <w:color w:val="auto"/>
        </w:rPr>
      </w:pPr>
    </w:p>
    <w:p>
      <w:pPr>
        <w:ind w:left="660" w:hanging="328"/>
        <w:spacing w:after="0" w:line="259"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any fiscal quarter (and only during such fiscal quarter) commencing after the fiscal quarter ended June 30, 2017, if the last reported sale price of Company common stock for at least 20 trading days (whether or not consecutive), in the period of 30 consecutive trading days, ending on, and including, the last trading day of the immediately preceding fiscal quarter, exceeds 130% of the conversion price for the notes on each applicable trading day; or</w:t>
      </w:r>
    </w:p>
    <w:p>
      <w:pPr>
        <w:spacing w:after="0" w:line="24" w:lineRule="exact"/>
        <w:rPr>
          <w:rFonts w:ascii="Arial" w:cs="Arial" w:eastAsia="Arial" w:hAnsi="Arial"/>
          <w:sz w:val="18"/>
          <w:szCs w:val="18"/>
          <w:color w:val="auto"/>
        </w:rPr>
      </w:pPr>
    </w:p>
    <w:p>
      <w:pPr>
        <w:jc w:val="both"/>
        <w:ind w:left="660" w:right="120" w:hanging="328"/>
        <w:spacing w:after="0" w:line="305"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the five business-day period immediately after any five consecutive trading-day period, which the Company refers to as the measurement period, in which the trading price per $1,000 principal amount of notes for each trading day of that measurement period was less than 98% of the product of the last reported sale price of Company common stock and the conversion rate for the notes for each such trading day.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2021 Notes remain convertible upon the occurrence of specified corporate events.</w:t>
      </w:r>
    </w:p>
    <w:p>
      <w:pPr>
        <w:spacing w:after="0" w:line="306" w:lineRule="exact"/>
        <w:rPr>
          <w:sz w:val="20"/>
          <w:szCs w:val="20"/>
          <w:color w:val="auto"/>
        </w:rPr>
      </w:pPr>
    </w:p>
    <w:p>
      <w:pPr>
        <w:ind w:right="120"/>
        <w:spacing w:after="0" w:line="305" w:lineRule="auto"/>
        <w:rPr>
          <w:sz w:val="20"/>
          <w:szCs w:val="20"/>
          <w:color w:val="auto"/>
        </w:rPr>
      </w:pPr>
      <w:r>
        <w:rPr>
          <w:rFonts w:ascii="Arial" w:cs="Arial" w:eastAsia="Arial" w:hAnsi="Arial"/>
          <w:sz w:val="16"/>
          <w:szCs w:val="16"/>
          <w:color w:val="auto"/>
        </w:rPr>
        <w:t>The initial conversion rate for the December 2021 Notes was 262.2951 shares of the Company’s common stock per $1,000 principal amount of December 2021 Notes, which was equivalent to an initial conversion price of approximately $3.81 per share of common stock, subject to adjustments upon the occurrence of certain specified events as set forth in the December 2021 Notes Indenture, the following of which occurred in 2020:</w:t>
      </w:r>
    </w:p>
    <w:p>
      <w:pPr>
        <w:spacing w:after="0" w:line="1" w:lineRule="exact"/>
        <w:rPr>
          <w:sz w:val="20"/>
          <w:szCs w:val="20"/>
          <w:color w:val="auto"/>
        </w:rPr>
      </w:pPr>
    </w:p>
    <w:p>
      <w:pPr>
        <w:ind w:left="660" w:right="14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distribution by the Company of its stock in Evofem to the PDL stockholders on May 21, 2020, the conversion rate for the December 2021 Notes increased from 262.2951 to 316.5801 shares of the Company’s common stock per $1,000 principal amount of December 2021 Notes equating to a conversion price of $3.16 per share of common stock.</w:t>
      </w:r>
    </w:p>
    <w:p>
      <w:pPr>
        <w:spacing w:after="0" w:line="21" w:lineRule="exact"/>
        <w:rPr>
          <w:rFonts w:ascii="Arial" w:cs="Arial" w:eastAsia="Arial" w:hAnsi="Arial"/>
          <w:sz w:val="18"/>
          <w:szCs w:val="18"/>
          <w:color w:val="auto"/>
        </w:rPr>
      </w:pPr>
    </w:p>
    <w:p>
      <w:pPr>
        <w:jc w:val="both"/>
        <w:ind w:left="660" w:right="240" w:hanging="328"/>
        <w:spacing w:after="0" w:line="305"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Upon the stockholders’ approval of the dissolution of the Company on August 19, 2020, a Fundamental Make-Whole Change, as defined in the December 2021 Notes Indenture, was triggered and the conversion rate for the December 2021 Notes was temporarily increased by 26.5297 to 343.1098 shares of the Company’s common stock for those bondholders who elected to convert their bonds during the conversion period.</w:t>
      </w:r>
    </w:p>
    <w:p>
      <w:pPr>
        <w:ind w:left="660" w:right="2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spin-off of the Company’s majority-owned subsidiary, LENSAR, on October 1, 2020, the conversion rate increased for the December 2021 Notes from 316.5801 to 410.6268 shares of the Company’s common stock per $1,000 principal amount of December 2021 Notes equating to a conversion price of $2.44 per share of common stock.</w:t>
      </w:r>
    </w:p>
    <w:p>
      <w:pPr>
        <w:spacing w:after="0" w:line="21"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the adjustment to the conversion rate resulting from the spin-ff of LENSAR occurred during the fundamental make-whole period, the temporary increase to the conversion rate of 26.5297 shares of the Company’s common stock associated with the stockholders’ approval of the dissolution of the Company was further increased by 7.8812 shares of the Company’s common stock for the applicable portion of the observation period for those bondholders who elected to convert their bonds during the conversion period.</w:t>
      </w:r>
    </w:p>
    <w:p>
      <w:pPr>
        <w:spacing w:after="0" w:line="24"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suspension of trading of the Company’s common stock on the Nasdaq prior to the opening of business on December 31, 2020, a Fundamental Make-Whole Change occurred on December 31, 2020 resulting in a temporary increase to the conversion rate of 34.7383 shares of the Company’s common stock during the conversion period.</w:t>
      </w:r>
    </w:p>
    <w:p>
      <w:pPr>
        <w:spacing w:after="0" w:line="2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accordance with the accounting guidance for convertible debt instruments that may be settled in cash or other assets on conversion, upon the issuance of the December 2021 Notes in November 2016 the Company was required to separately account for the liability component of the instrument in a manner that reflects the market interest rate for a similar nonconvertible instrument at the date of issuance. As a result, the Company separated the principal balance of the December 2021 Notes between the fair value of the debt component with the remainder of the consideration being allocated to the equity component. Using an assumed borrowing rate of 9.5%, which represented the estimated market interest rate for a similar nonconvertible instrument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83" w:name="page84"/>
    <w:bookmarkEnd w:id="83"/>
    <w:p>
      <w:pPr>
        <w:ind w:right="420"/>
        <w:spacing w:after="0" w:line="277" w:lineRule="auto"/>
        <w:rPr>
          <w:sz w:val="20"/>
          <w:szCs w:val="20"/>
          <w:color w:val="auto"/>
        </w:rPr>
      </w:pPr>
      <w:r>
        <w:rPr>
          <w:rFonts w:ascii="Arial" w:cs="Arial" w:eastAsia="Arial" w:hAnsi="Arial"/>
          <w:sz w:val="18"/>
          <w:szCs w:val="18"/>
          <w:color w:val="auto"/>
        </w:rPr>
        <w:t>available to the Company on the date of issuance, the Company recorded a debt discount of $4.3 million, allocated $23.8 million to Additional paid-in capital for the conversion feature and allocated $12.8 million to deferred tax liability.</w:t>
      </w:r>
    </w:p>
    <w:p>
      <w:pPr>
        <w:spacing w:after="0" w:line="19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debt discount, including the conversion feature and issuance costs allocated to debt, which remained after amortization and the effect of the September 2019 Exchange Transaction, was being amortized to interest expense over the term of the December 2021 Notes until the adoption of the Liquidation Basis and increased, until such time, interest expense for the December 2021 Notes from the 2.75% cash coupon interest rate to an effective interest rate of 9.7%.</w:t>
      </w:r>
    </w:p>
    <w:p>
      <w:pPr>
        <w:spacing w:after="0" w:line="17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December 17, 2019, the Company repurchased $44.8 million in aggregate principal amount of its December 2021 Notes for $39.9 million in cash and 3.5 million shares of its common stock in privately negotiated transactions (the “December 2019 Exchange Transaction”). It was determined that the repurchase of the principal amount should be accounted for as a partial extinguishment of the December 2021 Notes. As a result, a loss on extinguishment of $2.5 million was recorded at closing of the transaction. The loss on extinguishment included the de-recognition of a proportional share of the original issuance discount of $0.3 million and outstanding deferred issuance costs of less than $0.1 million.</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approval of the Plan of Dissolution by the Company’s stockholders in August 2020, provided for a Fundamental Change Repurchase Right, as defined in the December 2021 Notes Indenture, to each holder of the December 2021 Notes which would require the Company, at the holder’s option, to repurchase for cash on September 29, 2020 such holder’s notes, or any portion of the principal amount thereof, equal to $1,000 or an integral multiple of $1,000. No holders tendered their notes for repurchase under this Fundamental Change Repurchase Right.</w:t>
      </w:r>
    </w:p>
    <w:p>
      <w:pPr>
        <w:spacing w:after="0" w:line="19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approval of the Plan of Dissolution by the Company’s stockholders also initiated a Fundamental Make-Whole Change, as noted above, allowing the holders of the December 2021 Notes to exercise their conversion rights during the conversion period for a cash amount equal to the conversion rate as defined in the December 2021 Notes Indenture (the “September 2020 Conversion”). Holders of $11.2 million par value of December 2021 Notes exercised their conversion right for an aggregate cash amount of $12.0 million. Such notes were repurchased and retired prior to December 31, 2020.</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As a result of the suspension of trading of the Company’s common stock on the Nasdaq prior to the opening of business on December 31, 2020, a Fundamental Change occurred on December 31, 2020, the first day the Company’s common stock was no longer quoted and traded on a national securities exchange, and accordingly provided for a Fundamental Change Repurchase Right, which requires the Company, at the holder’s option, to repurchase for cash on February 17, 2021 such holder’s notes, or any portion of the principal amount thereof, equal to $1,000 or an integral multiple of $1,000. See Note 26,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information.</w:t>
      </w:r>
    </w:p>
    <w:p>
      <w:pPr>
        <w:spacing w:after="0" w:line="21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suspension of trading of the Company’s common stock also initiated a Fundamental Make-Whole Change allowing the holders of the notes to exercise their conversion rights until the close of business on February 16, 2021 for a cash amount equal to the conversion rate as defined in the December 2021 Notes Indenture (the “2021 Conversion”). See Note 26,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information.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2020, the Company repurchased an additional $2.2 million par value of December 2021 Notes in separate privately negotiated transactions for an aggregate amount of $2.3 million, including interest (the “December 2020 Repurchases”). As of December 31, 2020, $1.9 million par value of these notes remained outstanding pending final settlement, the offset of which is recorded as “Other Assets” on the Company’s Consolidated Statement of Net Assets as of December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w w:val="99"/>
              </w:rPr>
              <w:t>The carrying value and unamortized discount of the December 2021 Notes were as follows: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51"/>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December 31, 2020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3"/>
              </w:rPr>
              <w:t>December 31, 2019</w:t>
            </w:r>
          </w:p>
        </w:tc>
      </w:tr>
      <w:tr>
        <w:trPr>
          <w:trHeight w:val="203"/>
        </w:trPr>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6"/>
                <w:szCs w:val="16"/>
                <w:color w:val="auto"/>
                <w:w w:val="95"/>
              </w:rPr>
              <w:t>(Liquidation Basis)</w:t>
            </w:r>
          </w:p>
        </w:tc>
        <w:tc>
          <w:tcPr>
            <w:tcW w:w="160" w:type="dxa"/>
            <w:vAlign w:val="bottom"/>
          </w:tcPr>
          <w:p>
            <w:pPr>
              <w:spacing w:after="0"/>
              <w:rPr>
                <w:sz w:val="17"/>
                <w:szCs w:val="17"/>
                <w:color w:val="auto"/>
              </w:rPr>
            </w:pPr>
          </w:p>
        </w:tc>
        <w:tc>
          <w:tcPr>
            <w:tcW w:w="1780" w:type="dxa"/>
            <w:vAlign w:val="bottom"/>
          </w:tcPr>
          <w:p>
            <w:pPr>
              <w:jc w:val="right"/>
              <w:ind w:right="132"/>
              <w:spacing w:after="0"/>
              <w:rPr>
                <w:sz w:val="20"/>
                <w:szCs w:val="20"/>
                <w:color w:val="auto"/>
              </w:rPr>
            </w:pPr>
            <w:r>
              <w:rPr>
                <w:rFonts w:ascii="Arial" w:cs="Arial" w:eastAsia="Arial" w:hAnsi="Arial"/>
                <w:sz w:val="16"/>
                <w:szCs w:val="16"/>
                <w:color w:val="auto"/>
                <w:w w:val="95"/>
              </w:rPr>
              <w:t>(Going Concern Basis)</w:t>
            </w:r>
          </w:p>
        </w:tc>
      </w:tr>
      <w:tr>
        <w:trPr>
          <w:trHeight w:val="60"/>
        </w:trPr>
        <w:tc>
          <w:tcPr>
            <w:tcW w:w="7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80" w:type="dxa"/>
            <w:vAlign w:val="bottom"/>
          </w:tcPr>
          <w:p>
            <w:pPr>
              <w:spacing w:after="0"/>
              <w:rPr>
                <w:sz w:val="5"/>
                <w:szCs w:val="5"/>
                <w:color w:val="auto"/>
              </w:rPr>
            </w:pPr>
          </w:p>
        </w:tc>
      </w:tr>
      <w:tr>
        <w:trPr>
          <w:trHeight w:val="23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Principal amount of the December 2021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Unamortized discount of liability component under Going Concern Basis</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2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settlement premium under Liquidation Basis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40" w:type="dxa"/>
            <w:vAlign w:val="bottom"/>
            <w:gridSpan w:val="2"/>
          </w:tcPr>
          <w:p>
            <w:pPr>
              <w:ind w:left="220"/>
              <w:spacing w:after="0"/>
              <w:rPr>
                <w:sz w:val="20"/>
                <w:szCs w:val="20"/>
                <w:color w:val="auto"/>
              </w:rPr>
            </w:pPr>
            <w:r>
              <w:rPr>
                <w:rFonts w:ascii="Arial" w:cs="Arial" w:eastAsia="Arial" w:hAnsi="Arial"/>
                <w:sz w:val="18"/>
                <w:szCs w:val="18"/>
                <w:color w:val="auto"/>
              </w:rPr>
              <w:t>Net carrying value of the December 2021 Notes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Interest expense for the December 2021 Notes included in the Company’s Consolidated Statements of Operations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Eight Months Ended</w:t>
            </w:r>
          </w:p>
        </w:tc>
        <w:tc>
          <w:tcPr>
            <w:tcW w:w="380" w:type="dxa"/>
            <w:vAlign w:val="bottom"/>
          </w:tcPr>
          <w:p>
            <w:pPr>
              <w:spacing w:after="0"/>
              <w:rPr>
                <w:sz w:val="20"/>
                <w:szCs w:val="20"/>
                <w:color w:val="auto"/>
              </w:rPr>
            </w:pPr>
          </w:p>
        </w:tc>
        <w:tc>
          <w:tcPr>
            <w:tcW w:w="30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5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20"/>
                <w:szCs w:val="20"/>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August 31, 2020</w:t>
            </w: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6"/>
        </w:trPr>
        <w:tc>
          <w:tcPr>
            <w:tcW w:w="5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coupon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r>
      <w:tr>
        <w:trPr>
          <w:trHeight w:val="270"/>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6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7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conversion feature</w:t>
            </w:r>
          </w:p>
        </w:tc>
        <w:tc>
          <w:tcPr>
            <w:tcW w:w="1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w:t>
            </w:r>
          </w:p>
        </w:tc>
      </w:tr>
      <w:tr>
        <w:trPr>
          <w:trHeight w:val="289"/>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December 2021 Notes are convertible.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 Transaction</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 connection with the offering of the December 2021 Notes, the Company entered into a privately-negotiated capped call transaction with an affiliate of the underwriter of such issuance. The aggregate cost of the capped call transaction was $14.4 million. The capped call transaction is generally expected to reduce the potential dilution upon conversion of the December 2021 Notes and/or partially offset any cash payments the Company is required to make in excess of the principal amount of converted December 2021 Notes in the event that the market price per share of the Company’s common stock, as measured under the terms of the capped call transaction, is greater than the strike price of the capped call transaction. This initially corresponds to the approximate $3.81 per share conversion price of the December 2021 Notes and is subject to anti-dilution adjustments substantially similar to those applicable to the conversion rate of the December 2021 Notes. The cap price of the capped call transaction was initially $4.88 per share and is subject to certain adjustments under the terms of the capped call transaction. Both the per share conversion price and cap price were adjusted for the above-noted changes to the conversion rate of the December 2021 Notes that occurred during 2020. The Company will not be required to make any cash payments to the option counterparty upon the exercise of the options that are a part of the capped call transaction, but the Company will be entitled to receive from it an aggregate amount of cash and/or number of shares of the Company’s common stock, based on the settlement method election chosen for the related convertible senior notes, with a value equal to the amount by which the market price per share of the Company’s common stock, as measured under the terms of the capped call transaction, is greater than the strike price of the capped call transaction during the relevant valuation period under the capped call transaction, with such number of shares of the Company’s common stock and/or amount of cash subject to the cap price.</w:t>
      </w:r>
    </w:p>
    <w:p>
      <w:pPr>
        <w:spacing w:after="0" w:line="20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evaluated the capped call transaction under authoritative accounting guidance and determined that it should be accounted for as a separate transaction and classified as a net reduction to additional paid-in capital within stockholders’ equity with no recurring fair value measurement recorded.</w:t>
      </w:r>
    </w:p>
    <w:p>
      <w:pPr>
        <w:spacing w:after="0" w:line="15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connection with the September 2019 Exchange Transaction, the Company unwound a portion of the capped call entered into when the December 2021 Notes were issued, as they were no longer scheduled to mature in 2021. This generated proceeds to the Company of $0.9 million. The $0.9 million proceeds from the unwind of the capped call, which reflected the value of the options outstanding at the time of the September 2019 Exchange Transaction and the average share price of the Company’s common stock were included as an increase to Additional paid-in capital within stockholders’ equity.</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December 2019 Exchange Transaction, the Company unwound a corresponding portion of the capped call related to the notes and repurchased 1.6 million shares of its common stock from the counterparty. The Company paid the capped call counterparty $3.1 million, representing $5.6 million for the common stock repurchased from the counterparty, net of $2.5 million owed from the counterparty to the Company for unwinding the capped call. The common stock repurchased was reflected as a decrease to Retained earnings within stockholders’ equity. The proceeds from the capped call were included as an increase to Additional paid-in capital within stockholders’ equity.</w:t>
      </w: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September 2020 Conversion and the December 2020 Repurchases, the Company unwound a corresponding portion of the capped call which generated aggregate proceeds to the Company of $1.3 million.</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As of December 31, 2020, under the Liquidation Basis, the estimated cash expenditures of the December 2021 Notes was $2.5 million, this includes principal, interest and other payments expected to repurchase or convert the notes to cash. For additional information, see Note 3, </w:t>
      </w:r>
      <w:r>
        <w:rPr>
          <w:rFonts w:ascii="Arial" w:cs="Arial" w:eastAsia="Arial" w:hAnsi="Arial"/>
          <w:sz w:val="16"/>
          <w:szCs w:val="16"/>
          <w:i w:val="1"/>
          <w:iCs w:val="1"/>
          <w:color w:val="auto"/>
        </w:rPr>
        <w:t>Net Assets in Liquidation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December 2024 Notes</w:t>
      </w:r>
    </w:p>
    <w:p>
      <w:pPr>
        <w:spacing w:after="0" w:line="252"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On September 17, 2019, in connection with the September 2019 Exchange Transaction, the Company exchanged $86.1 million aggregate principal of December 2021 Notes for an identical aggregate original principal amount of December 2024 Notes, plus a cash payment of $70.00 for each $1,000 principal amount exchanged, totaling approximately $6.0 million. The December 2024 Notes were scheduled to mature on December 1, 2024. The Company paid interest at 2.75% on the December 2024 Notes semiannually in arrears on June 1 and December 1 of each year, beginning December 1, 2019. The original principal of the December 2024 Notes was expected to accrete at a rate of 2.375% per year (“Accretion Interest”) commencing September 17, 2019 through the maturity of the December 2024 Notes. The accreted principal amount of the December 2024 Notes was payable in cash upon maturity and is included in “Other long-term liabilities” on the Company’s Consolidated Balance Sheet as of December 31, 2019.</w:t>
      </w:r>
    </w:p>
    <w:p>
      <w:pPr>
        <w:spacing w:after="0" w:line="19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Upon the occurrence of a fundamental change, as defined in the indenture entered into in connection with the December 2024 Notes (the “December 2024 Notes Indenture”), holders have the option to require the Company to repurchase their December 2024 Notes at a purchase price equal to 100% of the accreted principal amount of such December 2024 Notes, plus accrued interest on the original principal amount thereon.</w:t>
      </w:r>
    </w:p>
    <w:p>
      <w:pPr>
        <w:spacing w:after="0" w:line="19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Prior to the delisting of its common stock, the December 2024 Notes were convertible into PDL common stock upon the occurrence of specified corporate events as described in the December 2024 Notes Indenture or under either of the following circumstances at any time prior to the close of business on the business day immediately preceding June 1, 2024 (or at any time beginning on June 1, 2024 until the close of business on the second scheduled trading day immediately preceding the stated maturity):</w:t>
      </w:r>
    </w:p>
    <w:p>
      <w:pPr>
        <w:spacing w:after="0" w:line="26" w:lineRule="exact"/>
        <w:rPr>
          <w:sz w:val="20"/>
          <w:szCs w:val="20"/>
          <w:color w:val="auto"/>
        </w:rPr>
      </w:pPr>
    </w:p>
    <w:p>
      <w:pPr>
        <w:ind w:left="660" w:right="180" w:hanging="328"/>
        <w:spacing w:after="0" w:line="259"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any fiscal quarter (and only during such fiscal quarter) commencing after the fiscal quarter ended December 31, 2019, if the last reported sale price of Company common stock for at least 20 trading days (whether or not consecutive), in the period of 30 consecutive trading days, ending on, and including, the last trading day of the immediately preceding fiscal quarter, exceeds 130% of the conversion price for the notes on each applicable trading day; or</w:t>
      </w:r>
    </w:p>
    <w:p>
      <w:pPr>
        <w:spacing w:after="0" w:line="24" w:lineRule="exact"/>
        <w:rPr>
          <w:rFonts w:ascii="Arial" w:cs="Arial" w:eastAsia="Arial" w:hAnsi="Arial"/>
          <w:sz w:val="18"/>
          <w:szCs w:val="18"/>
          <w:color w:val="auto"/>
        </w:rPr>
      </w:pPr>
    </w:p>
    <w:p>
      <w:pPr>
        <w:ind w:left="660" w:hanging="328"/>
        <w:spacing w:after="0" w:line="311"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the five business-day period immediately after any five consecutive trading-day period, which the Company refers to as the measurement period, in which the trading price per $1,000 original principal amount of notes for each trading day of that measurement period was less than 98% of the product of the last reported sale price of Company common stock and the conversion rate for the notes for each such trading day.</w:t>
      </w:r>
    </w:p>
    <w:p>
      <w:pPr>
        <w:spacing w:after="0" w:line="17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In accordance with the terms of the December 2024 Notes Indenture, the Company had the right, but not the obligation, to redeem all or any portion of the December 2024 Notes that is equal to $1,000 original principal amount or an integral multiple of $1,000 prior to their scheduled maturity on a redemption date beginning on or after December 1, 2021 and on or before the 60th scheduled trading day before December 1, 2024, for a cash purchase price equal to the redemption price, but only if the last reported sale price of Company common stock exceeds 128% of the conversion price for the December 2024 Notes on (i) each of at least 20 trading Days (whether or not consecutive) during the 30 consecutive trading days ending on, and including, the trading day immediately before the redemption notice date for such redemption; and (ii) the trading day immediately before such redemption notice date. The redemption price for the December 2024 Notes called for redemption is equal to the then accreted principal amount of such December 2024 Notes plus accrued but unpaid interest on the original principal amount thereon. The calling of any December 2024 Notes for redemption would constitute a make-whole fundamental change with respect to such notes, entitling the holders who convert such December 2024 Notes called for redemption prior to the applicable redemption date to receive an increase in the applicable conversion rate, as described in the December 2024 Notes Indenture.</w:t>
      </w:r>
    </w:p>
    <w:p>
      <w:pPr>
        <w:spacing w:after="0" w:line="198"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The initial conversion rate for the December 2024 Notes was 262.2951 shares of the Company’s common stock per $1,000 original principal amount of December 2024 Notes, which was equivalent to an initial conversion price of approximately $3.81 per share of common stock, subject to adjustments upon the occurrence of certain specified events as set forth in the December 2024 Notes Indenture, the following of which occurred in 2020:</w:t>
      </w:r>
    </w:p>
    <w:p>
      <w:pPr>
        <w:spacing w:after="0" w:line="1" w:lineRule="exact"/>
        <w:rPr>
          <w:sz w:val="20"/>
          <w:szCs w:val="20"/>
          <w:color w:val="auto"/>
        </w:rPr>
      </w:pPr>
    </w:p>
    <w:p>
      <w:pPr>
        <w:ind w:left="660" w:right="1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distribution by the Company of its stock in Evofem to the PDL stockholders on May 21, 2020, the conversion rate for the December 2024 Notes increased from 262.2951 to 316.5801 shares of the Company’s common stock per $1,000 principal amount of December 2024 Notes equating to a conversion price of $3.16 per share of common stock.</w:t>
      </w:r>
    </w:p>
    <w:p>
      <w:pPr>
        <w:spacing w:after="0" w:line="21" w:lineRule="exact"/>
        <w:rPr>
          <w:rFonts w:ascii="Arial" w:cs="Arial" w:eastAsia="Arial" w:hAnsi="Arial"/>
          <w:sz w:val="18"/>
          <w:szCs w:val="18"/>
          <w:color w:val="auto"/>
        </w:rPr>
      </w:pPr>
    </w:p>
    <w:p>
      <w:pPr>
        <w:jc w:val="both"/>
        <w:ind w:left="660" w:right="2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stockholders’ approval of the dissolution of the Company on August 19, 2020, a Fundamental Make-Whole Change, as defined in the December 2024 Notes Indenture, was triggered and the conversion rate for the December 2024 Notes was temporarily increased by 62.2203 to 378.8004 shares of the Company’s common stock during the conversion period.</w:t>
      </w:r>
    </w:p>
    <w:p>
      <w:pPr>
        <w:spacing w:after="0" w:line="2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spin-off of the Company’s majority-owned subsidiary, LENSAR, On October 1, 2020 the conversion rate increased for the December 2024 Notes from 316.5801 to 410.6268 shares of the Company’s common stock per $1,000 principal amount of December 2024 Notes equating to a conversion price of $2.44 per share of common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In accordance with the accounting guidance for an extinguishment of convertible debt instruments with a cash conversion feature, the Company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required to allocate the fair value of the consideration transferred between the liability component and the equity component. To calculate the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debt immediately prior to derecognition, the carrying value was recalculated in a manner that reflected the estimated market interest rate for a similar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nonconvertible instrument at the date of issuance. Using an assumed borrowing rate of 7.05% the Company calculated the fair value of the debt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representing the amount allocated to the liability component of the December 2024 Notes with the remainder of the consideration allocated to the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feature, to reflect the reacquisition of the embedded conversion option. The conversion feature together with the fees allocated to the debt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accounted for as a debt discount. As a result of the September 2019 Exchange Transaction, the Company recorded a total debt discount of $9.4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included the cash conversion feature of $8.1 million and the debt issuance fees of $1.3 million, charged $5.5 million to Additional paid-in capital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 million charge to Additional paid-in capital representing the reduction to the 2021 equity component, partially offset by the $8.1 million allocated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for the 2024 notes) and recorded $1.2 million to deferred tax liability. The net amount charged to Additional paid-in capital represents the difference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between the consideration paid for the September 2019 Exchange Transaction and the fair value of the convertible debt prior to the extinguishment.</w:t>
      </w:r>
    </w:p>
    <w:p>
      <w:pPr>
        <w:spacing w:after="0" w:line="24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Accretion Interest and debt discount, including the conversion feature and issuance costs allocated to debt, were being amortized to interest expense over the term of the December 2024 Notes until the adoption of the Liquidation Basis and increased, until such time, interest expense for the December 2024 Notes from the 2.75% cash coupon interest rate to an effective interest rate of 7.5%.</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December 17, 2019, in connection with the December 2019 Exchange Transaction, the Company repurchased $74.6 million in aggregate principal amount of its December 2024 Notes for $58.0 million in cash and 9.9 million shares of its common stock in privately negotiated transactions. It was determined that the repurchase of the principal amount should be accounted for as a partial extinguishment of the December 2024 Notes. As a result, a loss on extinguishment of $2.1 million was recorded at closing of the transaction. The loss on extinguishment included the de-recognition of a proportional share of the deferred issuance costs of $1.1 million.</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approval of the Plan of Dissolution by the Company’s stockholders in August 2020 provided for a Fundamental Change Repurchase Right, as defined in the December 2024 Notes Indenture, to each holder of the December 2024 Notes which would require the Company, at the holder’s option, to repurchase for cash on September 29, 2020 such holder’s notes, or any portion of the principal amount thereof, equal to $1,000 or an integral multiple of $1,000. No holders tendered their notes for repurchase under this Fundamental Change Repurchase Right.</w:t>
      </w:r>
    </w:p>
    <w:p>
      <w:pPr>
        <w:spacing w:after="0" w:line="198"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The approval of the Plan of Dissolution by the Company’s stockholders also initiated a Fundamental Make-Whole Change allowing the holders of the December 2024 Notes to exercise their conversion rights during the conversion period for a cash amount equal to the conversion rate as defined in the December 2024 Notes Indenture (the “September 2020 Conversion”). No holders exercised their conversion right for the December 2024 Notes.</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December 2020, the Company repurchased $1.0 million par value of December 2024 Notes in a privately negotiated transaction for an aggregate amount of $1.1 million, including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December 2024 Notes outstanding as of December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accretion and unamortized discount of the December 2024 Notes under the Going Concern Basis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80" w:type="dxa"/>
            <w:vAlign w:val="bottom"/>
          </w:tcPr>
          <w:p>
            <w:pPr>
              <w:spacing w:after="0"/>
              <w:rPr>
                <w:sz w:val="20"/>
                <w:szCs w:val="20"/>
                <w:color w:val="auto"/>
              </w:rPr>
            </w:pPr>
          </w:p>
        </w:tc>
        <w:tc>
          <w:tcPr>
            <w:tcW w:w="1760" w:type="dxa"/>
            <w:vAlign w:val="bottom"/>
          </w:tcPr>
          <w:p>
            <w:pPr>
              <w:ind w:left="60"/>
              <w:spacing w:after="0"/>
              <w:rPr>
                <w:sz w:val="20"/>
                <w:szCs w:val="20"/>
                <w:color w:val="auto"/>
              </w:rPr>
            </w:pPr>
            <w:r>
              <w:rPr>
                <w:rFonts w:ascii="Arial" w:cs="Arial" w:eastAsia="Arial" w:hAnsi="Arial"/>
                <w:sz w:val="18"/>
                <w:szCs w:val="18"/>
                <w:b w:val="1"/>
                <w:bCs w:val="1"/>
                <w:color w:val="auto"/>
              </w:rPr>
              <w:t>December 31, 2019</w:t>
            </w:r>
          </w:p>
        </w:tc>
      </w:tr>
      <w:tr>
        <w:trPr>
          <w:trHeight w:val="34"/>
        </w:trPr>
        <w:tc>
          <w:tcPr>
            <w:tcW w:w="9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r>
      <w:tr>
        <w:trPr>
          <w:trHeight w:val="230"/>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Principal amount of the December 2024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8"/>
              </w:rPr>
              <w:t>11,500</w:t>
            </w:r>
          </w:p>
        </w:tc>
      </w:tr>
      <w:tr>
        <w:trPr>
          <w:trHeight w:val="230"/>
        </w:trPr>
        <w:tc>
          <w:tcPr>
            <w:tcW w:w="9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Unamortized discount of liability component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w w:val="94"/>
              </w:rPr>
              <w:t>(1,200)</w:t>
            </w:r>
          </w:p>
        </w:tc>
      </w:tr>
      <w:tr>
        <w:trPr>
          <w:trHeight w:val="248"/>
        </w:trPr>
        <w:tc>
          <w:tcPr>
            <w:tcW w:w="9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carrying value of the December 2024 Notes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8"/>
              </w:rPr>
              <w:t>10,300</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Interest expense for the December 2024 Notes included in the Company’s Consolidated Statement of Operations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Eight Months Ended</w:t>
            </w:r>
          </w:p>
        </w:tc>
        <w:tc>
          <w:tcPr>
            <w:tcW w:w="180" w:type="dxa"/>
            <w:vAlign w:val="bottom"/>
          </w:tcPr>
          <w:p>
            <w:pPr>
              <w:spacing w:after="0"/>
              <w:rPr>
                <w:sz w:val="22"/>
                <w:szCs w:val="22"/>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Year Ended</w:t>
            </w:r>
          </w:p>
        </w:tc>
      </w:tr>
      <w:tr>
        <w:trPr>
          <w:trHeight w:val="270"/>
        </w:trPr>
        <w:tc>
          <w:tcPr>
            <w:tcW w:w="7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80" w:type="dxa"/>
            <w:vAlign w:val="bottom"/>
          </w:tcPr>
          <w:p>
            <w:pPr>
              <w:spacing w:after="0"/>
              <w:rPr>
                <w:sz w:val="23"/>
                <w:szCs w:val="23"/>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August 31, 2020</w:t>
            </w:r>
          </w:p>
        </w:tc>
        <w:tc>
          <w:tcPr>
            <w:tcW w:w="180" w:type="dxa"/>
            <w:vAlign w:val="bottom"/>
          </w:tcPr>
          <w:p>
            <w:pPr>
              <w:spacing w:after="0"/>
              <w:rPr>
                <w:sz w:val="23"/>
                <w:szCs w:val="23"/>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r>
      <w:tr>
        <w:trPr>
          <w:trHeight w:val="34"/>
        </w:trPr>
        <w:tc>
          <w:tcPr>
            <w:tcW w:w="7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r>
      <w:tr>
        <w:trPr>
          <w:trHeight w:val="27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coupon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70"/>
        </w:trPr>
        <w:tc>
          <w:tcPr>
            <w:tcW w:w="7120" w:type="dxa"/>
            <w:vAlign w:val="bottom"/>
          </w:tcPr>
          <w:p>
            <w:pPr>
              <w:ind w:left="20"/>
              <w:spacing w:after="0"/>
              <w:rPr>
                <w:sz w:val="20"/>
                <w:szCs w:val="20"/>
                <w:color w:val="auto"/>
              </w:rPr>
            </w:pPr>
            <w:r>
              <w:rPr>
                <w:rFonts w:ascii="Arial" w:cs="Arial" w:eastAsia="Arial" w:hAnsi="Arial"/>
                <w:sz w:val="18"/>
                <w:szCs w:val="18"/>
                <w:color w:val="auto"/>
              </w:rPr>
              <w:t>Accretion Interest on outstanding principal</w:t>
            </w:r>
          </w:p>
        </w:tc>
        <w:tc>
          <w:tcPr>
            <w:tcW w:w="1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conversion feature</w:t>
            </w: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88"/>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 Transaction</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connection with the issuance of the December 2024 Notes in the September 2019 Exchange Transaction, the Company entered into a privately-negotiated capped call transaction with an affiliate of the underwriter of such issuance. The aggregate cost of the capped call transaction was $4.5 million. The capped call transaction is generally expected to reduce the potential dilution upon conversion of the December 2024 Notes and/or partially offset any cash payments the Company is required to make in excess of the principal amount of converted December 2024 Notes in the event that the market price per share of the Company’s common stock, as measured under the terms of the capped call transaction, is greater than the strike price of the capped</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call transaction. This initially corresponds to the approximate $3.81 per share conversion price of the December 2024 Notes and is subject to anti-dilution adjustments substantially similar to those applicable to the conversion rate of the December 2024 Notes. The cap price of the capped call transaction was initially $4.88 per share and is subject to certain adjustments under the terms of the capped call transaction. Both the per share conversion price and cap price were adjusted for the above-noted changes to the conversion rate of the December 2024 Notes that occurred during 2020. The Company will not be required to make any cash payments to the option counterparty upon the exercise of the options that are a part of the capped call transaction, but the Company will be entitled to receive from it an aggregate amount of cash and/or number of shares of the Company’s common stock, based on the settlement method election chosen for the related convertible senior notes, with a value equal to the amount by which the market price per share of the Company’s common stock, as measured under the terms of the capped call transaction, is greater than the strike price of the capped call transaction during the relevant valuation period under the capped call transaction, with such number of shares of the Company’s common stock and/or amount of cash subject to the cap price.</w:t>
      </w:r>
    </w:p>
    <w:p>
      <w:pPr>
        <w:spacing w:after="0" w:line="21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Company evaluated the capped call transaction under authoritative accounting guidance and determined that it should be accounted for as separate transaction from the debt as it was entered into with a separate counterparty and does not relate to the same risk. The $4.5 million premium for the capped call was classified as a reduction to Additional paid-in capital within stockholders’ equity and will not be subject to recurring fair value measurement.</w:t>
      </w:r>
    </w:p>
    <w:p>
      <w:pPr>
        <w:spacing w:after="0" w:line="1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December 2019 Exchange Transaction, the Company unwound a corresponding portion of the capped call related to the notes and repurchased 1.6 million shares of its common stock from the counterparty. The Company paid the capped call counterparty $1.2 million, representing $5.4 million for the common stock repurchased from the counterparty, net of $4.2 million owed from the counterparty to the Company for unwinding the capped call. The common stock repurchased was reflected as a decrease to Retained earnings within stockholders’ equity. The proceeds from the capped call were included as an increase to Additional paid-in capital within stockholders’ equity.</w:t>
      </w:r>
    </w:p>
    <w:p>
      <w:pPr>
        <w:spacing w:after="0" w:line="2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connection with the repurchase of the December 2024 Notes in December 2020, the Company unwound a corresponding portion of the capped call which generated aggregate proceeds to the Company of $0.1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As of December 31, 2020, the future minimum principal payments under the December 2021 and December 2024 Notes were: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rPr>
              <w:t>(in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December 2021 Notes</w:t>
            </w: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2024 Notes</w:t>
            </w:r>
          </w:p>
        </w:tc>
        <w:tc>
          <w:tcPr>
            <w:tcW w:w="34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0"/>
        </w:trPr>
        <w:tc>
          <w:tcPr>
            <w:tcW w:w="67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15. Other Long-Term Liabilities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8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20" w:type="dxa"/>
            <w:vAlign w:val="bottom"/>
            <w:gridSpan w:val="2"/>
          </w:tcPr>
          <w:p>
            <w:pPr>
              <w:spacing w:after="0"/>
              <w:rPr>
                <w:sz w:val="20"/>
                <w:szCs w:val="20"/>
                <w:color w:val="auto"/>
              </w:rPr>
            </w:pPr>
            <w:r>
              <w:rPr>
                <w:rFonts w:ascii="Arial" w:cs="Arial" w:eastAsia="Arial" w:hAnsi="Arial"/>
                <w:sz w:val="18"/>
                <w:szCs w:val="18"/>
                <w:color w:val="auto"/>
              </w:rPr>
              <w:t>Other long-term liabilities under the Going Concern Basis consisted of the following:</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8"/>
                <w:szCs w:val="18"/>
                <w:b w:val="1"/>
                <w:bCs w:val="1"/>
                <w:color w:val="auto"/>
              </w:rPr>
              <w:t>December 31,2019</w:t>
            </w: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37,574</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Deferred tax liability</w:t>
            </w: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lease liability</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gridSpan w:val="2"/>
            <w:shd w:val="clear" w:color="auto" w:fill="CCEEFF"/>
          </w:tcPr>
          <w:p>
            <w:pPr>
              <w:ind w:left="220"/>
              <w:spacing w:after="0" w:line="223" w:lineRule="exact"/>
              <w:rPr>
                <w:sz w:val="20"/>
                <w:szCs w:val="20"/>
                <w:color w:val="auto"/>
              </w:rPr>
            </w:pPr>
            <w:r>
              <w:rPr>
                <w:rFonts w:ascii="Arial" w:cs="Arial" w:eastAsia="Arial" w:hAnsi="Arial"/>
                <w:sz w:val="25"/>
                <w:szCs w:val="25"/>
                <w:color w:val="auto"/>
                <w:vertAlign w:val="subscript"/>
              </w:rPr>
              <w:t>Total</w:t>
            </w:r>
            <w:r>
              <w:rPr>
                <w:rFonts w:ascii="Arial" w:cs="Arial" w:eastAsia="Arial" w:hAnsi="Arial"/>
                <w:sz w:val="10"/>
                <w:szCs w:val="10"/>
                <w:color w:val="auto"/>
              </w:rPr>
              <w:t xml:space="preserve"> (1) (2)</w:t>
            </w: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340" w:hanging="332"/>
        <w:spacing w:after="0" w:line="227" w:lineRule="auto"/>
        <w:tabs>
          <w:tab w:leader="none" w:pos="208"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 xml:space="preserve">The amounts above exclude $0.1 million of Other long-term liabilities at Noden classified as held for sale as of December 31, 2019. See Note 4, </w:t>
      </w:r>
      <w:r>
        <w:rPr>
          <w:rFonts w:ascii="Arial" w:cs="Arial" w:eastAsia="Arial" w:hAnsi="Arial"/>
          <w:sz w:val="18"/>
          <w:szCs w:val="18"/>
          <w:i w:val="1"/>
          <w:iCs w:val="1"/>
          <w:color w:val="auto"/>
        </w:rPr>
        <w:t>Discontinued Operations Classified as Assets Held for Sale</w:t>
      </w:r>
      <w:r>
        <w:rPr>
          <w:rFonts w:ascii="Arial" w:cs="Arial" w:eastAsia="Arial" w:hAnsi="Arial"/>
          <w:sz w:val="18"/>
          <w:szCs w:val="18"/>
          <w:color w:val="auto"/>
        </w:rPr>
        <w:t>, for additional information.</w:t>
      </w:r>
    </w:p>
    <w:p>
      <w:pPr>
        <w:spacing w:after="0" w:line="28"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The amounts above include amounts held by LENSAR which was spun-off on October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Guarantee</w:t>
      </w:r>
    </w:p>
    <w:p>
      <w:pPr>
        <w:spacing w:after="0" w:line="25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connection with the spin-off by the Company of Facet Biotech Corporation (“Facet”), the Company entered into amendments to the leases for the Company’s former facilities in Redwood City, California, under which Facet was added as a co-tenant, and a Co-Tenancy Agreement, under which Facet agreed to indemnify the Company for all matters related to the leases attributable to the period after the spin-off date. In April 2010, Abbott Laboratories acquired Facet and later renamed the entity AbbVie Biotherapeutics, Inc. (“AbbVie”). If AbbVie were to default under its lease obligations, the Company could be held liable by the landlord as a co-tenant and, thus, the Company has in substance guaranteed the payments under the lease agreements for the Redwood City facilities. As of December 31, 2020, the total lease payments for the duration of the guarantee, which runs through December 2021 and is non-extendible, are approximately $11.3 million.</w:t>
      </w:r>
    </w:p>
    <w:p>
      <w:pPr>
        <w:spacing w:after="0" w:line="20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prepared a discounted, probability weighted cash flow analysis to calculate the estimated fair value of the lease guarantee as of the spin-off. The Company was required to make assumptions regarding the probability of Facet’s default on the lease payment, the likelihood of a sublease being executed and the times at which these events could occur. These assumptions are based on information that the Company received from real estate brokers and the then-current economic conditions, as well as expectations of future economic conditions. The fair value of this lease guarantee was charged to Additional paid-in capital upon the spin-off and any future adjustments to the carrying value of the obligation will also be recorded in Additional paid-in capital.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recorded a liability of $10.7 million as of December 31, 2020 and 2019, related to this guarantee.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 Down Payments to Stock Option Holders</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Wind Down Retention Plan provides for equitable adjustments to outstanding stock options held by participants to ensure such participants realize the same benefits provided to shareholders in the event one or more cash or other distributions become payable to shareholders. Consistent with the existing terms of the Equity Plan, in the event one or more cash or other distributions</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89" w:name="page90"/>
    <w:bookmarkEnd w:id="89"/>
    <w:p>
      <w:pPr>
        <w:spacing w:after="0" w:line="288" w:lineRule="auto"/>
        <w:rPr>
          <w:sz w:val="20"/>
          <w:szCs w:val="20"/>
          <w:color w:val="auto"/>
        </w:rPr>
      </w:pPr>
      <w:r>
        <w:rPr>
          <w:rFonts w:ascii="Arial" w:cs="Arial" w:eastAsia="Arial" w:hAnsi="Arial"/>
          <w:sz w:val="16"/>
          <w:szCs w:val="16"/>
          <w:color w:val="auto"/>
        </w:rPr>
        <w:t>are paid to shareholders, the exercise price of outstanding stock options will be reduced on a dollar-for-dollar basis to reflect the per share value of such distributions. In the event that the Company declares cash or other distributions that, in the aggregate, exceed the difference between the exercise price of an outstanding stock option and the par value of the underlying shares ($0.01), the holder of such stock option will be entitled to receive from the Company a cash payment in an amount equal to the number of shares subject to such stock option multiplied by the per share amount of the cash or other distribution that exceeds the difference between exercise price of the outstanding option and the par value of the underlying shares (a “true-up payment”). A true-up payment is also paid with respect to a post-dissolution cash or other distributions with respect to a stock-option that was not exercised prior to dissolution in the same fashion as provided above. True-up payments are to be made on the same date that cash or other distributions are paid or made to the Company’s stockholders. As of December 31, 2020, the Company has 11,141,051 stock options outstanding at a weighted average adjusted exercise price of $1.87. As of January 4, 2021, the date we filed our Certificate of Dissolution, the Company was unable to issue stock for any purpose, including to cover the exercise of employee options, and as a result such options became unexercisable.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After the sale of Noden and the spin-off of LENSAR, the Company no longer has any purchase obligations and the Company was released from all of its guarantees for purchase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Royalty Asset Escrow</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proceeds from the sale of the three royalty interests to SWK totaled $4.35 million, 90% of which was received at the closing of the transaction. The remaining 10% or $435 thousand, included in “Receivables from asset sales” in the Statement of Net Assets in Liquidation, is currently held in escrow against certain potential contingencies and is to be released on the one-year anniversary of the closing, subject to the satisfaction of any such potential 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May 5, 2020, our Board, pursuant to the Plan of Liquidation, approved a distribution of all of the Company’s shares of common stock of Evofem via a liquidation distribution to PDL stockholders. The Evofem shares were distributed on May 21, 2020 to PDL shareholders of record as of the close of business on May 15, 2020 (the “Evofem Record Date”). Based on the shares of PDL common stock outstanding as of the close of business on the Evofem Record Date, PDL stockholders were entitled to receive 0.11591985 shares of Evofem common stock for each share of PDL common stock held.</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September 10, 2020, the Company’s Board, pursuant to the Plan of Liquidation, approved a distribution of all of the Company’s shares of common stock of LENSAR via a liquidation distribution to PDL stockholders. The LENSAR shares were distributed on October 2, 2020 to PDL shareholders of record as of the close of business on September 22, 2020 (the “LENSAR Record Date”). Based on the shares of PDL common stock outstanding as of the close of business on the LENSAR Record Date, PDL stockholders were entitled to receive 0.075879 shares of LENSAR common stock for each share of PDL common stock held.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1, 2017, the Company announced that its Board authorized the repurchase through March 2018 of issued and outstanding shares of the Company’s common stock having an aggregate value of up to $30.0 million pursuant to a share repurchase program. The repurchases under the share repurchase program were made from time to time in the open market or in privately negotiated transactions and were funded from the Company’s working capital. All shares of common stock repurchased under the Company’s share repurchase program were retired and restored to authorized but unissued shares of common stock at June 30, 2017. The Company repurchased 13.3 million shares of its common stock under the share repurchase program during the fiscal year ended December 31, 2017 for an aggregate purchase price of $30.0 million, or an average cost of $2.25 per share, including trading commissions.</w:t>
      </w:r>
    </w:p>
    <w:p>
      <w:pPr>
        <w:spacing w:after="0" w:line="22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September 25, 2017, the Company announced that its Board authorized the repurchase of issued and outstanding shares of the Company’s common stock having an aggregate value of up to $25.0 million pursuant to a share repurchase program. The repurchases under the share repurchase program were made from time to time in the open market or in privately negotiated</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90" w:name="page91"/>
    <w:bookmarkEnd w:id="90"/>
    <w:p>
      <w:pPr>
        <w:ind w:right="80"/>
        <w:spacing w:after="0" w:line="254" w:lineRule="auto"/>
        <w:rPr>
          <w:sz w:val="20"/>
          <w:szCs w:val="20"/>
          <w:color w:val="auto"/>
        </w:rPr>
      </w:pPr>
      <w:r>
        <w:rPr>
          <w:rFonts w:ascii="Arial" w:cs="Arial" w:eastAsia="Arial" w:hAnsi="Arial"/>
          <w:sz w:val="18"/>
          <w:szCs w:val="18"/>
          <w:color w:val="auto"/>
        </w:rPr>
        <w:t>transactions and were funded from the Company’s working capital. All shares of common stock repurchased under this share repurchase program were retired and restored to authorized but unissued shares of common stock. The Company repurchased 8.7 million shares of its common stock under the share repurchase program during the fiscal year ended December 31, 2018, for an aggregate purchase price of $25.0 million, or an average cost of $2.86 per share, including trading commissions.</w:t>
      </w:r>
    </w:p>
    <w:p>
      <w:pPr>
        <w:spacing w:after="0" w:line="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On September 24, 2018, the Company announced that its Board authorized the repurchase of issued and outstanding shares of the Company’s common stock having an aggregate value of up to $100.0 million pursuant to a share repurchase program. Repurchases under this share repurchase program were made from time to time in the open market or in privately negotiated transactions and funded from the Company’s working capital. All shares of common stock repurchased under this repurchase program were retired and restored to authorized but unissued shares of common stock at July 31, 2019. The Company repurchased 31.0 million shares of its common stock under this share repurchase program for an aggregate purchase price of $100.0 million, or an average cost of $3.22 per share, including trading commissions.</w:t>
      </w:r>
    </w:p>
    <w:p>
      <w:pPr>
        <w:spacing w:after="0" w:line="20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December 9, 2019, the Company announced that its Board authorized the repurchase of issued and outstanding shares of the Company's common stock and convertible notes up to an aggregate value of $200 million. On December 16, 2019, the Company announced that its Board approved a $75 million increase to the aforementioned $200 million repurchase program to acquire outstanding PDL common stock and convertible notes. Repurchases under the new repurchase program were made from time to time in the open market or in privately negotiated transactions and funded from the Company’s working capital. All shares of common stock repurchased under the Company’s repurchase program were retired and restored to authorized but unissued shares of common stock. All convertible notes repurchased under the program were retired. During the year ended December 31, 2019, the Company repurchased $44.8 million in aggregate principal amount of 2021 Convertible Notes and $74.6 million in aggregate principal amount of 2024 Convertible Notes for consideration consisting of a cash payment of $97.9 million and the issuance of 13.4 million shares of the Company’s common stock. During the eight months ended August 31, 2020, the Company repurchased $5.4 million in aggregate principal amount of 2021 Convertible Notes and $10.5 million in aggregate principal amount of 2024 Convertible Notes for cash payments totaling $18.8 million. During the eight months ended August 31, 2020, the Company repurchased 12.3 million shares of its common stock under the share repurchase program for an aggregate purchase price of $39.4 million, or an average cost of $3.20 per share, including trading commissions.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Upon the approval by the Company’s stockholders 2020 to seek dissolution in August 2020 during the Annual Shareholder Meeting, holders of</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$11.2 million par value of December 2021 Notes exercised their conversion right for an aggregate amount of $12.0 million. Such notes were repurchased entirely for cash and were retired prior to December 31, 2020. In December 2020, the Company repurchased an additional $2.2 million par value of December 2021 Notes in separate privately negotiated transactions for an aggregate amount of $2.3 million, including interest and repurchased $1.0 million par value of December 2024 Notes in a privately negotiated transaction for an aggregate amount of $1.1 million, including interest.</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2020, the Company had repurchased 12.3 million shares of its common stock under the share repurchase program for an aggregate purchase price of $39.4 million, or an average cost of $3.20 per share, including trading commissions.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Income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Going Concern Basis, comprehensive income is comprised of net loss and other comprehensive loss. The Company includes unrealized net gains (losses) on investments held in its available-for-sale securities in other comprehensive loss, and presents the amounts net of tax. The Company’s other comprehensive loss is included in the Company’s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balance of “accumulated other comprehensive loss,” net of tax,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gains</w:t>
            </w:r>
          </w:p>
        </w:tc>
        <w:tc>
          <w:tcPr>
            <w:tcW w:w="140" w:type="dxa"/>
            <w:vAlign w:val="bottom"/>
          </w:tcPr>
          <w:p>
            <w:pPr>
              <w:spacing w:after="0"/>
              <w:rPr>
                <w:sz w:val="16"/>
                <w:szCs w:val="16"/>
                <w:color w:val="auto"/>
              </w:rPr>
            </w:pPr>
          </w:p>
        </w:tc>
        <w:tc>
          <w:tcPr>
            <w:tcW w:w="152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Total Accumulated</w:t>
            </w:r>
          </w:p>
        </w:tc>
      </w:tr>
      <w:tr>
        <w:trPr>
          <w:trHeight w:val="162"/>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2"/>
              </w:rPr>
              <w:t>(losses) on</w:t>
            </w:r>
          </w:p>
        </w:tc>
        <w:tc>
          <w:tcPr>
            <w:tcW w:w="140" w:type="dxa"/>
            <w:vAlign w:val="bottom"/>
          </w:tcPr>
          <w:p>
            <w:pPr>
              <w:spacing w:after="0"/>
              <w:rPr>
                <w:sz w:val="14"/>
                <w:szCs w:val="14"/>
                <w:color w:val="auto"/>
              </w:rPr>
            </w:pPr>
          </w:p>
        </w:tc>
        <w:tc>
          <w:tcPr>
            <w:tcW w:w="152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8"/>
              </w:rPr>
              <w:t>Other</w:t>
            </w:r>
          </w:p>
        </w:tc>
      </w:tr>
      <w:tr>
        <w:trPr>
          <w:trHeight w:val="162"/>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available-for-</w:t>
            </w:r>
          </w:p>
        </w:tc>
        <w:tc>
          <w:tcPr>
            <w:tcW w:w="140" w:type="dxa"/>
            <w:vAlign w:val="bottom"/>
          </w:tcPr>
          <w:p>
            <w:pPr>
              <w:spacing w:after="0"/>
              <w:rPr>
                <w:sz w:val="14"/>
                <w:szCs w:val="14"/>
                <w:color w:val="auto"/>
              </w:rPr>
            </w:pPr>
          </w:p>
        </w:tc>
        <w:tc>
          <w:tcPr>
            <w:tcW w:w="152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88"/>
              </w:rPr>
              <w:t>Comprehensive</w:t>
            </w:r>
          </w:p>
        </w:tc>
      </w:tr>
      <w:tr>
        <w:trPr>
          <w:trHeight w:val="213"/>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sale securities</w:t>
            </w:r>
          </w:p>
        </w:tc>
        <w:tc>
          <w:tcPr>
            <w:tcW w:w="140" w:type="dxa"/>
            <w:vAlign w:val="bottom"/>
          </w:tcPr>
          <w:p>
            <w:pPr>
              <w:spacing w:after="0"/>
              <w:rPr>
                <w:sz w:val="18"/>
                <w:szCs w:val="18"/>
                <w:color w:val="auto"/>
              </w:rPr>
            </w:pPr>
          </w:p>
        </w:tc>
        <w:tc>
          <w:tcPr>
            <w:tcW w:w="152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Income</w:t>
            </w:r>
          </w:p>
        </w:tc>
      </w:tr>
      <w:tr>
        <w:trPr>
          <w:trHeight w:val="239"/>
        </w:trPr>
        <w:tc>
          <w:tcPr>
            <w:tcW w:w="7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70"/>
        </w:trPr>
        <w:tc>
          <w:tcPr>
            <w:tcW w:w="7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Activity for the year ended December 31, 2018</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23"/>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Ending Balance at December 31, 2018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Activity for the year ended December 31, 2019</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 at December 31, 2019</w:t>
            </w: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Activity for the eight months ended August 31, 2020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Ending Balance at August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previously granted restricted stock awards and stock options pursuant to a stockholder approved stock-based incentive plan.</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Company’s stock option and restricted stock award compensation expense during the eight months ended August 31, 2020 and years ended December 31, 2019 and 2018:</w:t>
      </w:r>
    </w:p>
    <w:p>
      <w:pPr>
        <w:spacing w:after="0" w:line="5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Eight Months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gridSpan w:val="8"/>
          </w:tcPr>
          <w:p>
            <w:pPr>
              <w:ind w:left="20"/>
              <w:spacing w:after="0"/>
              <w:rPr>
                <w:sz w:val="20"/>
                <w:szCs w:val="20"/>
                <w:color w:val="auto"/>
              </w:rPr>
            </w:pPr>
            <w:r>
              <w:rPr>
                <w:rFonts w:ascii="Arial" w:cs="Arial" w:eastAsia="Arial" w:hAnsi="Arial"/>
                <w:sz w:val="18"/>
                <w:szCs w:val="18"/>
                <w:b w:val="1"/>
                <w:bCs w:val="1"/>
                <w:color w:val="auto"/>
                <w:w w:val="92"/>
              </w:rPr>
              <w:t>Ended August 31,  Year Ended December 31,</w:t>
            </w: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r>
      <w:tr>
        <w:trPr>
          <w:trHeight w:val="179"/>
        </w:trPr>
        <w:tc>
          <w:tcPr>
            <w:tcW w:w="69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r>
      <w:tr>
        <w:trPr>
          <w:trHeight w:val="233"/>
        </w:trPr>
        <w:tc>
          <w:tcPr>
            <w:tcW w:w="7000" w:type="dxa"/>
            <w:vAlign w:val="bottom"/>
            <w:gridSpan w:val="2"/>
            <w:shd w:val="clear" w:color="auto" w:fill="CCEEFF"/>
          </w:tcPr>
          <w:p>
            <w:pPr>
              <w:spacing w:after="0" w:line="233" w:lineRule="exact"/>
              <w:rPr>
                <w:sz w:val="20"/>
                <w:szCs w:val="20"/>
                <w:color w:val="auto"/>
              </w:rPr>
            </w:pPr>
            <w:r>
              <w:rPr>
                <w:rFonts w:ascii="Arial" w:cs="Arial" w:eastAsia="Arial" w:hAnsi="Arial"/>
                <w:sz w:val="18"/>
                <w:szCs w:val="18"/>
                <w:color w:val="auto"/>
              </w:rPr>
              <w:t xml:space="preserve">Employees and directors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2"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Stock option and restricted stock award compensation expense from discontinued operations are excluded from the table above.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Expected volatility was based on the historical volatility of the Company’s common stock over the estimated expected life of the options. The expected term represents the period of time the options were expected to be outstanding. The expected term is based on the “simplified method” as defined by the SEC Staff Accounting Bulletin No. 110 (Topic 14.D.2). The Company used the “simplified method” due to the lack of sufficient historical exercise data to provide a reasonable basis upon which to otherwise estimate the expected life of the options. The risk-free rate was based on yields on U.S. Treasury securities with a maturity similar to the estimated expected term of the options. The fair value of restricted stock awards was based on the closing price of the Company’s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2" w:name="page93"/>
    <w:bookmarkEnd w:id="92"/>
    <w:p>
      <w:pPr>
        <w:ind w:right="100"/>
        <w:spacing w:after="0" w:line="277" w:lineRule="auto"/>
        <w:rPr>
          <w:sz w:val="20"/>
          <w:szCs w:val="20"/>
          <w:color w:val="auto"/>
        </w:rPr>
      </w:pPr>
      <w:r>
        <w:rPr>
          <w:rFonts w:ascii="Arial" w:cs="Arial" w:eastAsia="Arial" w:hAnsi="Arial"/>
          <w:sz w:val="18"/>
          <w:szCs w:val="18"/>
          <w:color w:val="auto"/>
        </w:rPr>
        <w:t>The fair value of the Company’s stock options granted in the eight months ended August 31, 2020 and the years ended December 31, 2019 and 2018, were estimated assuming no expected dividends and the following weighted-average assumptions:</w:t>
      </w:r>
    </w:p>
    <w:p>
      <w:pPr>
        <w:spacing w:after="0" w:line="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Eight Months Ended</w:t>
            </w:r>
          </w:p>
        </w:tc>
        <w:tc>
          <w:tcPr>
            <w:tcW w:w="3300" w:type="dxa"/>
            <w:vAlign w:val="bottom"/>
            <w:gridSpan w:val="3"/>
            <w:vMerge w:val="restart"/>
          </w:tcPr>
          <w:p>
            <w:pPr>
              <w:ind w:left="6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August 31,</w:t>
            </w:r>
          </w:p>
        </w:tc>
        <w:tc>
          <w:tcPr>
            <w:tcW w:w="3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top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34"/>
        </w:trPr>
        <w:tc>
          <w:tcPr>
            <w:tcW w:w="4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expected term (in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3.5    -    6.1</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3.5    -    6.0</w:t>
            </w: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18"/>
                <w:szCs w:val="18"/>
                <w:color w:val="auto"/>
              </w:rPr>
              <w:t>Range of risk-free interest rate</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1.5%   -   3.0%</w:t>
            </w:r>
          </w:p>
        </w:tc>
        <w:tc>
          <w:tcPr>
            <w:tcW w:w="1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2.7%   -   3.0%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Incentive Plans</w:t>
      </w:r>
    </w:p>
    <w:p>
      <w:pPr>
        <w:spacing w:after="0" w:line="25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February 7, 2020, the Board approved the Plan of Liquidation, which accelerated the vesting of a significant portion of the Company’s outstanding equity awards pursuant to provisions in the Wind Down Retention Plan. The Wind Down Retention Plan further provides for equitable adjustments to outstanding stock options held by participants to ensure such participants realize the same benefits provided to shareholders in the event one or more cash or other distributions become payable to shareholders. Consistent with the existing terms of the Equity Plan, in the event one or more cash or other distributions are paid to shareholders, the exercise price of outstanding stock options will be reduced on a dollar-for-dollar basis to reflect the per share value of such distribution. In the event that the Company declares cash or other distributions that, in the aggregate, exceed the difference between the exercise price of an outstanding stock option and the par value of the underlying shares ($0.01), the holder of such stock option will be entitled to receive from the Company a cash payment in an amount equal to the number of shares subject to such stock option multiplied by the per share amount of the cash or other distribution that exceeds the difference between exercise price of the outstanding option and the par value of the underlying shares (a “true-up payment”). A true-up payment is also paid with respect to a post-dissolution cash or other distributions with respect to a stock-option that was not exercised prior to dissolution in the same fashion as provided above. True-up payments are to be made on the same date that cash or other distributions are paid or made to the Company’s stockholders. In May 2020, in accordance with this provision and in conjunction with the Evofem distribution, the exercise price of the outstanding option awards was decreased by $0.58 per share. In October 2020, in accordance with this provision and in conjunction with the LENSAR distribution, the exercise price of the outstanding option awards was decreased by $0.78 per share. As of December 31, 2020, the Company has 11,141,051 stock options outstanding at a weighted average adjusted exercise price of $1.87. As of January 4, 2021, the date we filed our Certificate of Dissolution, the Company was unable to issue stock for any purpose, including to cover the exercise of employee options, and as a result such options became unexercisable.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2005 Equity Incentive Plan</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had one active stock-based incentive plan under which it previously granted stock-based awards to the Company’s employees, directors and non-employees.</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Company’s Amended and Restated 2005 Equity Incentive Plan effective June 8, 2018 (the “2005 Equity Incentive Plan”), the Company was authorized to issue a variety of incentive awards, including stock options, stock appreciation rights, restricted stock awards, restricted stock unit awards, performance share and performance unit awards, deferred compensation awards and other stock-based or cash-based awards. As of December 31, 2020, awards granted under the 2005 Equity Incentive Plan consisted of stock options and restricted stock awards. There were no other grants of any other award types under the 2005 Equity Incentive Plan. Upon the Company’s filing for dissolution in January 2021, the Company is no longer authorized to issue equity awards under the 2005 Equity Incentive Plan.</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June 2018, the Company’s stockholders approved an amendment and restatement of the 2005 Equity Incentive Plan that increased the number of shares available for grant by 15,000,000 to 26,200,000. The number of shares of common stock authorized for issuance, shares of common stock issued upon exercise of options or grant of restricted stock awards, shares of common stock subject to outstanding awards and shares available for grant under this plan as of December 31, 2020,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Total Shares of</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Total Shares of</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Total Shares of</w:t>
            </w:r>
          </w:p>
        </w:tc>
        <w:tc>
          <w:tcPr>
            <w:tcW w:w="0" w:type="dxa"/>
            <w:vAlign w:val="bottom"/>
          </w:tcPr>
          <w:p>
            <w:pPr>
              <w:spacing w:after="0"/>
              <w:rPr>
                <w:sz w:val="1"/>
                <w:szCs w:val="1"/>
                <w:color w:val="auto"/>
              </w:rPr>
            </w:pPr>
          </w:p>
        </w:tc>
      </w:tr>
      <w:tr>
        <w:trPr>
          <w:trHeight w:val="135"/>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Title of Plan</w:t>
            </w:r>
          </w:p>
        </w:tc>
        <w:tc>
          <w:tcPr>
            <w:tcW w:w="15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88"/>
        </w:trPr>
        <w:tc>
          <w:tcPr>
            <w:tcW w:w="6820" w:type="dxa"/>
            <w:vAlign w:val="bottom"/>
            <w:gridSpan w:val="2"/>
            <w:vMerge w:val="continue"/>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Authorized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Issued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Available for Grant</w:t>
            </w:r>
          </w:p>
        </w:tc>
        <w:tc>
          <w:tcPr>
            <w:tcW w:w="0" w:type="dxa"/>
            <w:vAlign w:val="bottom"/>
          </w:tcPr>
          <w:p>
            <w:pPr>
              <w:spacing w:after="0"/>
              <w:rPr>
                <w:sz w:val="1"/>
                <w:szCs w:val="1"/>
                <w:color w:val="auto"/>
              </w:rPr>
            </w:pPr>
          </w:p>
        </w:tc>
      </w:tr>
      <w:tr>
        <w:trPr>
          <w:trHeight w:val="35"/>
        </w:trPr>
        <w:tc>
          <w:tcPr>
            <w:tcW w:w="67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Equity Incentive Plan</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26,200,000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17,731,795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8,468,205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option activity under the 2005 Equity Incentive Plan for the year ended December 31, 2020:</w:t>
      </w:r>
    </w:p>
    <w:p>
      <w:pPr>
        <w:spacing w:after="0" w:line="200" w:lineRule="exact"/>
        <w:rPr>
          <w:sz w:val="20"/>
          <w:szCs w:val="20"/>
          <w:color w:val="auto"/>
        </w:rPr>
      </w:pPr>
    </w:p>
    <w:p>
      <w:pPr>
        <w:spacing w:after="0" w:line="224"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Weighted-Average</w:t>
            </w:r>
          </w:p>
        </w:tc>
        <w:tc>
          <w:tcPr>
            <w:tcW w:w="120" w:type="dxa"/>
            <w:vAlign w:val="bottom"/>
          </w:tcPr>
          <w:p>
            <w:pPr>
              <w:spacing w:after="0"/>
              <w:rPr>
                <w:sz w:val="17"/>
                <w:szCs w:val="17"/>
                <w:color w:val="auto"/>
              </w:rPr>
            </w:pPr>
          </w:p>
        </w:tc>
        <w:tc>
          <w:tcPr>
            <w:tcW w:w="118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jc w:val="center"/>
              <w:ind w:right="320"/>
              <w:spacing w:after="0" w:line="176" w:lineRule="exact"/>
              <w:rPr>
                <w:sz w:val="20"/>
                <w:szCs w:val="20"/>
                <w:color w:val="auto"/>
              </w:rPr>
            </w:pPr>
            <w:r>
              <w:rPr>
                <w:rFonts w:ascii="Arial" w:cs="Arial" w:eastAsia="Arial" w:hAnsi="Arial"/>
                <w:sz w:val="18"/>
                <w:szCs w:val="18"/>
                <w:b w:val="1"/>
                <w:bCs w:val="1"/>
                <w:color w:val="auto"/>
                <w:w w:val="87"/>
              </w:rPr>
              <w:t>Average</w:t>
            </w:r>
          </w:p>
        </w:tc>
        <w:tc>
          <w:tcPr>
            <w:tcW w:w="1740" w:type="dxa"/>
            <w:vAlign w:val="bottom"/>
            <w:gridSpan w:val="2"/>
            <w:vMerge w:val="restart"/>
          </w:tcPr>
          <w:p>
            <w:pPr>
              <w:jc w:val="center"/>
              <w:ind w:right="140"/>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720" w:type="dxa"/>
            <w:vAlign w:val="bottom"/>
          </w:tcPr>
          <w:p>
            <w:pPr>
              <w:spacing w:after="0"/>
              <w:rPr>
                <w:sz w:val="8"/>
                <w:szCs w:val="8"/>
                <w:color w:val="auto"/>
              </w:rPr>
            </w:pPr>
          </w:p>
        </w:tc>
        <w:tc>
          <w:tcPr>
            <w:tcW w:w="110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300" w:type="dxa"/>
            <w:vAlign w:val="bottom"/>
            <w:gridSpan w:val="2"/>
            <w:vMerge w:val="restart"/>
          </w:tcPr>
          <w:p>
            <w:pPr>
              <w:jc w:val="right"/>
              <w:ind w:right="12"/>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140"/>
        </w:trPr>
        <w:tc>
          <w:tcPr>
            <w:tcW w:w="37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320"/>
              <w:spacing w:after="0" w:line="176" w:lineRule="exact"/>
              <w:rPr>
                <w:sz w:val="20"/>
                <w:szCs w:val="20"/>
                <w:color w:val="auto"/>
              </w:rPr>
            </w:pPr>
            <w:r>
              <w:rPr>
                <w:rFonts w:ascii="Arial" w:cs="Arial" w:eastAsia="Arial" w:hAnsi="Arial"/>
                <w:sz w:val="18"/>
                <w:szCs w:val="18"/>
                <w:b w:val="1"/>
                <w:bCs w:val="1"/>
                <w:color w:val="auto"/>
                <w:w w:val="90"/>
              </w:rPr>
              <w:t>Adjusted</w:t>
            </w:r>
          </w:p>
        </w:tc>
        <w:tc>
          <w:tcPr>
            <w:tcW w:w="1740" w:type="dxa"/>
            <w:vAlign w:val="bottom"/>
            <w:gridSpan w:val="2"/>
            <w:vMerge w:val="restart"/>
          </w:tcPr>
          <w:p>
            <w:pPr>
              <w:jc w:val="center"/>
              <w:ind w:right="160"/>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w w:val="90"/>
              </w:rPr>
              <w:t>(in thousands)</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Exercise Price</w:t>
            </w: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i w:val="1"/>
                <w:iCs w:val="1"/>
                <w:color w:val="auto"/>
                <w:w w:val="88"/>
              </w:rPr>
              <w:t>(in thousands)</w:t>
            </w: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0"/>
        </w:trPr>
        <w:tc>
          <w:tcPr>
            <w:tcW w:w="3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10,180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end of year</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Options to purchase common stock generally vested over a 3 or 4-year period and were generally granted for a term of 10 years.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weighted-average grant-date fair value of options granted during the year ended December 31, 2020 was $0.78 per share. The intrinsic value of options exercised during the year ended December 31, 2020 was $1.2 million and the Company received $0.7 million in cash related to the exercise of the option awards. In conjunction with the dissolution process, all outstanding options were fully vested in the year ended December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Restricted stock has the same rights as other issued and outstanding shares of the Company’s common stock, including, in some cases, the right to accrue dividends, which are held in escrow until the award vests. The compensation expense related to these awards was determined using the fair market value of the Company’s common stock on the date of the grant, and the compensation expense was recognized ratably over the vesting period. Under the Company’s restricted stock plans, restricted stock awards typically vested over one to five years and compensation expense associated with these awards was recognized on a straight-line basis over the vesting period. In addition to service requirements, vesting of restricted stock awards may have been subject to the achievement of specified performance goals set by the Compensation Committee. If the performance goals were not met, no compensation expense was recognized and any previously recognized compensation expense was reversed.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restricted stock award activity under the 2005 Equity Incentive Plan for the year ended December 31, 2020:</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Number of 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2"/>
              </w:rPr>
              <w:t>grant-date fair</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value per share</w:t>
            </w:r>
          </w:p>
        </w:tc>
        <w:tc>
          <w:tcPr>
            <w:tcW w:w="0" w:type="dxa"/>
            <w:vAlign w:val="bottom"/>
          </w:tcPr>
          <w:p>
            <w:pPr>
              <w:spacing w:after="0"/>
              <w:rPr>
                <w:sz w:val="1"/>
                <w:szCs w:val="1"/>
                <w:color w:val="auto"/>
              </w:rPr>
            </w:pPr>
          </w:p>
        </w:tc>
      </w:tr>
      <w:tr>
        <w:trPr>
          <w:trHeight w:val="207"/>
        </w:trPr>
        <w:tc>
          <w:tcPr>
            <w:tcW w:w="8100" w:type="dxa"/>
            <w:vAlign w:val="bottom"/>
          </w:tcPr>
          <w:p>
            <w:pPr>
              <w:spacing w:after="0"/>
              <w:rPr>
                <w:sz w:val="17"/>
                <w:szCs w:val="17"/>
                <w:color w:val="auto"/>
              </w:rPr>
            </w:pPr>
          </w:p>
        </w:tc>
        <w:tc>
          <w:tcPr>
            <w:tcW w:w="1500" w:type="dxa"/>
            <w:vAlign w:val="bottom"/>
          </w:tcPr>
          <w:p>
            <w:pPr>
              <w:jc w:val="right"/>
              <w:ind w:right="171"/>
              <w:spacing w:after="0"/>
              <w:rPr>
                <w:sz w:val="20"/>
                <w:szCs w:val="20"/>
                <w:color w:val="auto"/>
              </w:rPr>
            </w:pPr>
            <w:r>
              <w:rPr>
                <w:rFonts w:ascii="Arial" w:cs="Arial" w:eastAsia="Arial" w:hAnsi="Arial"/>
                <w:sz w:val="16"/>
                <w:szCs w:val="16"/>
                <w:b w:val="1"/>
                <w:bCs w:val="1"/>
                <w:i w:val="1"/>
                <w:iCs w:val="1"/>
                <w:color w:val="auto"/>
              </w:rPr>
              <w:t>(in thousands)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beginning of year</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Awards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3,044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 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Withheld related to net settlement</w:t>
            </w:r>
          </w:p>
        </w:tc>
        <w:tc>
          <w:tcPr>
            <w:tcW w:w="1500" w:type="dxa"/>
            <w:vAlign w:val="bottom"/>
          </w:tcPr>
          <w:p>
            <w:pPr>
              <w:jc w:val="right"/>
              <w:spacing w:after="0"/>
              <w:rPr>
                <w:sz w:val="20"/>
                <w:szCs w:val="20"/>
                <w:color w:val="auto"/>
              </w:rPr>
            </w:pPr>
            <w:r>
              <w:rPr>
                <w:rFonts w:ascii="Arial" w:cs="Arial" w:eastAsia="Arial" w:hAnsi="Arial"/>
                <w:sz w:val="18"/>
                <w:szCs w:val="18"/>
                <w:color w:val="auto"/>
              </w:rPr>
              <w:t>(1,089)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Unvested at end of year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total fair value of restricted stock awards vested during the years ended December 31, 2020, 2019 and 2018 was approximately $9.0 million, $1.4 million and $2.1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94" w:name="page95"/>
    <w:bookmarkEnd w:id="94"/>
    <w:p>
      <w:pPr>
        <w:ind w:right="100"/>
        <w:spacing w:after="0" w:line="277" w:lineRule="auto"/>
        <w:rPr>
          <w:sz w:val="20"/>
          <w:szCs w:val="20"/>
          <w:color w:val="auto"/>
        </w:rPr>
      </w:pPr>
      <w:r>
        <w:rPr>
          <w:rFonts w:ascii="Arial" w:cs="Arial" w:eastAsia="Arial" w:hAnsi="Arial"/>
          <w:sz w:val="18"/>
          <w:szCs w:val="18"/>
          <w:color w:val="auto"/>
        </w:rPr>
        <w:t>The weighted-average grant date fair value for restricted stock awards granted under the 2005 Equity Incentive Plan for the years end December 31, 2020, 2019 and 2018 was $3.10, $3.62 and $2.61, respectively.</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December 31, 2020, there was no unrecognized compensation expense related to stock options or restricted stock awards granted under the 2005 Equity Incentive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Inducement Award Agreements</w:t>
      </w:r>
    </w:p>
    <w:p>
      <w:pPr>
        <w:spacing w:after="0" w:line="25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On September 12, 2017, the Company granted 961,000 shares of common stock in the form of a non-statutory inducement stock option grant pursuant to a non-statutory inducement stock option agreement and granted 240,200 shares of our common stock in the form of an inducement restricted stock grant pursuant to an inducement restricted stock agreement. These inducement awards were not granted under the 2005 Equity Incentive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Inducement Stock Option Activity</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2020, all stock options awarded under the non-statutory inducement stock option agreement were outstanding and exercisable. All compensation costs related to these options have been fully recognized.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Inducement Restricted Stock</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the year ended December 31, 2020, the remaining 80,067 shares of restricted stock awarded under the non-statutory inducement restricted stock agreement were vested. The total fair value of the restricted stock awards vested during the year ended December 31, 2020 was approximately $0.3 million.</w:t>
      </w:r>
    </w:p>
    <w:p>
      <w:pPr>
        <w:spacing w:after="0" w:line="15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Compensation expense associated with unvested restricted stock awards was recognized on a straight-line basis over the vesting period. At December 31, 2020, there was no unrecognized compensation expense related to restricted stock awards granted under the non-statutory inducement restricted stock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Revenue from Contracts with Customers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disaggregated its revenue from contracts with customers by segment and geographic location as the Company believed it best depicted how the nature, amount, timing and uncertainty of its revenue and cash flows were affected by economic factors. In the following table, revenue is disaggregated by segment and primary geographical market for the eight months ended August 31, 2020 and the year ended December 31, 2019:</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5"/>
          </w:tcPr>
          <w:p>
            <w:pPr>
              <w:ind w:left="240"/>
              <w:spacing w:after="0"/>
              <w:rPr>
                <w:sz w:val="20"/>
                <w:szCs w:val="20"/>
                <w:color w:val="auto"/>
              </w:rPr>
            </w:pPr>
            <w:r>
              <w:rPr>
                <w:rFonts w:ascii="Arial" w:cs="Arial" w:eastAsia="Arial" w:hAnsi="Arial"/>
                <w:sz w:val="18"/>
                <w:szCs w:val="18"/>
                <w:b w:val="1"/>
                <w:bCs w:val="1"/>
                <w:color w:val="auto"/>
              </w:rPr>
              <w:t>Eight Months Ended August 31, 2020</w:t>
            </w:r>
          </w:p>
        </w:tc>
        <w:tc>
          <w:tcPr>
            <w:tcW w:w="200" w:type="dxa"/>
            <w:vAlign w:val="bottom"/>
          </w:tcPr>
          <w:p>
            <w:pPr>
              <w:spacing w:after="0"/>
              <w:rPr>
                <w:sz w:val="20"/>
                <w:szCs w:val="20"/>
                <w:color w:val="auto"/>
              </w:rPr>
            </w:pPr>
          </w:p>
        </w:tc>
        <w:tc>
          <w:tcPr>
            <w:tcW w:w="35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Year Ended December 31, 2019</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Medical Devices</w:t>
            </w: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130"/>
              <w:spacing w:after="0" w:line="223" w:lineRule="exact"/>
              <w:rPr>
                <w:sz w:val="20"/>
                <w:szCs w:val="20"/>
                <w:color w:val="auto"/>
              </w:rPr>
            </w:pPr>
            <w:r>
              <w:rPr>
                <w:rFonts w:ascii="Arial" w:cs="Arial" w:eastAsia="Arial" w:hAnsi="Arial"/>
                <w:sz w:val="18"/>
                <w:szCs w:val="18"/>
                <w:b w:val="1"/>
                <w:bCs w:val="1"/>
                <w:color w:val="auto"/>
                <w:w w:val="90"/>
              </w:rPr>
              <w:t xml:space="preserve">Pharmaceutical </w:t>
            </w:r>
            <w:r>
              <w:rPr>
                <w:rFonts w:ascii="Arial" w:cs="Arial" w:eastAsia="Arial" w:hAnsi="Arial"/>
                <w:sz w:val="23"/>
                <w:szCs w:val="23"/>
                <w:b w:val="1"/>
                <w:bCs w:val="1"/>
                <w:color w:val="auto"/>
                <w:w w:val="90"/>
                <w:vertAlign w:val="superscript"/>
              </w:rPr>
              <w:t>(1)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Medical Devices</w:t>
            </w: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150"/>
              <w:spacing w:after="0" w:line="223" w:lineRule="exact"/>
              <w:rPr>
                <w:sz w:val="20"/>
                <w:szCs w:val="20"/>
                <w:color w:val="auto"/>
              </w:rPr>
            </w:pPr>
            <w:r>
              <w:rPr>
                <w:rFonts w:ascii="Arial" w:cs="Arial" w:eastAsia="Arial" w:hAnsi="Arial"/>
                <w:sz w:val="18"/>
                <w:szCs w:val="18"/>
                <w:b w:val="1"/>
                <w:bCs w:val="1"/>
                <w:color w:val="auto"/>
                <w:w w:val="90"/>
              </w:rPr>
              <w:t xml:space="preserve">Pharmaceutical </w:t>
            </w:r>
            <w:r>
              <w:rPr>
                <w:rFonts w:ascii="Arial" w:cs="Arial" w:eastAsia="Arial" w:hAnsi="Arial"/>
                <w:sz w:val="23"/>
                <w:szCs w:val="23"/>
                <w:b w:val="1"/>
                <w:bCs w:val="1"/>
                <w:color w:val="auto"/>
                <w:w w:val="90"/>
                <w:vertAlign w:val="superscript"/>
              </w:rPr>
              <w:t>(1)</w:t>
            </w:r>
          </w:p>
        </w:tc>
        <w:tc>
          <w:tcPr>
            <w:tcW w:w="0" w:type="dxa"/>
            <w:vAlign w:val="bottom"/>
          </w:tcPr>
          <w:p>
            <w:pPr>
              <w:spacing w:after="0"/>
              <w:rPr>
                <w:sz w:val="1"/>
                <w:szCs w:val="1"/>
                <w:color w:val="auto"/>
              </w:rPr>
            </w:pPr>
          </w:p>
        </w:tc>
      </w:tr>
      <w:tr>
        <w:trPr>
          <w:trHeight w:val="264"/>
        </w:trPr>
        <w:tc>
          <w:tcPr>
            <w:tcW w:w="3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20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26,034</w:t>
            </w: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22,816</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600" w:type="dxa"/>
            <w:vAlign w:val="bottom"/>
            <w:tcBorders>
              <w:top w:val="single" w:sz="8" w:color="CCEEFF"/>
            </w:tcBorders>
            <w:shd w:val="clear" w:color="auto" w:fill="CCEEFF"/>
          </w:tcPr>
          <w:p>
            <w:pPr>
              <w:ind w:left="240"/>
              <w:spacing w:after="0" w:line="156" w:lineRule="exact"/>
              <w:rPr>
                <w:sz w:val="20"/>
                <w:szCs w:val="20"/>
                <w:color w:val="auto"/>
              </w:rPr>
            </w:pPr>
            <w:r>
              <w:rPr>
                <w:rFonts w:ascii="Arial" w:cs="Arial" w:eastAsia="Arial" w:hAnsi="Arial"/>
                <w:sz w:val="18"/>
                <w:szCs w:val="18"/>
                <w:color w:val="auto"/>
                <w:w w:val="94"/>
              </w:rPr>
              <w:t>Total revenue from contracts with customers</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29,479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25,562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0" w:type="dxa"/>
            <w:vAlign w:val="bottom"/>
          </w:tcPr>
          <w:p>
            <w:pPr>
              <w:spacing w:after="0"/>
              <w:rPr>
                <w:sz w:val="1"/>
                <w:szCs w:val="1"/>
                <w:color w:val="auto"/>
              </w:rPr>
            </w:pPr>
          </w:p>
        </w:tc>
      </w:tr>
      <w:tr>
        <w:trPr>
          <w:trHeight w:val="155"/>
        </w:trPr>
        <w:tc>
          <w:tcPr>
            <w:tcW w:w="3600" w:type="dxa"/>
            <w:vAlign w:val="bottom"/>
            <w:tcBorders>
              <w:bottom w:val="single" w:sz="8" w:color="CCEEFF"/>
            </w:tcBorders>
            <w:shd w:val="clear" w:color="auto" w:fill="CCEEFF"/>
          </w:tcPr>
          <w:p>
            <w:pPr>
              <w:ind w:left="240"/>
              <w:spacing w:after="0" w:line="135" w:lineRule="exact"/>
              <w:rPr>
                <w:sz w:val="20"/>
                <w:szCs w:val="20"/>
                <w:color w:val="auto"/>
              </w:rPr>
            </w:pPr>
            <w:r>
              <w:rPr>
                <w:rFonts w:ascii="Arial" w:cs="Arial" w:eastAsia="Arial" w:hAnsi="Arial"/>
                <w:sz w:val="12"/>
                <w:szCs w:val="12"/>
                <w:color w:val="auto"/>
              </w:rPr>
              <w:t>(2)</w:t>
            </w: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1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16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16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16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340" w:right="340" w:hanging="251"/>
        <w:spacing w:after="0" w:line="267" w:lineRule="auto"/>
        <w:tabs>
          <w:tab w:leader="none" w:pos="278"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 xml:space="preserve">The revenue from the Company’s Pharmaceutical segment for the eight months ended August 31, 2020 and the year ended December 31, 2019 is included in Loss from discontinued operations. For additional information, see Note 4, </w:t>
      </w:r>
      <w:r>
        <w:rPr>
          <w:rFonts w:ascii="Arial" w:cs="Arial" w:eastAsia="Arial" w:hAnsi="Arial"/>
          <w:sz w:val="16"/>
          <w:szCs w:val="16"/>
          <w:i w:val="1"/>
          <w:iCs w:val="1"/>
          <w:color w:val="auto"/>
        </w:rPr>
        <w:t>Discontinued Operations Classified as Assets held for sale.</w:t>
      </w:r>
    </w:p>
    <w:p>
      <w:pPr>
        <w:spacing w:after="0" w:line="201" w:lineRule="exact"/>
        <w:rPr>
          <w:rFonts w:ascii="Arial" w:cs="Arial" w:eastAsia="Arial" w:hAnsi="Arial"/>
          <w:sz w:val="21"/>
          <w:szCs w:val="21"/>
          <w:color w:val="auto"/>
          <w:vertAlign w:val="superscript"/>
        </w:rPr>
      </w:pPr>
    </w:p>
    <w:p>
      <w:pPr>
        <w:ind w:left="340" w:right="280" w:hanging="251"/>
        <w:spacing w:after="0" w:line="238" w:lineRule="auto"/>
        <w:tabs>
          <w:tab w:leader="none" w:pos="278" w:val="left"/>
        </w:tabs>
        <w:numPr>
          <w:ilvl w:val="0"/>
          <w:numId w:val="45"/>
        </w:numPr>
        <w:rPr>
          <w:rFonts w:ascii="Arial" w:cs="Arial" w:eastAsia="Arial" w:hAnsi="Arial"/>
          <w:sz w:val="22"/>
          <w:szCs w:val="22"/>
          <w:color w:val="auto"/>
          <w:vertAlign w:val="superscript"/>
        </w:rPr>
      </w:pPr>
      <w:r>
        <w:rPr>
          <w:rFonts w:ascii="Arial" w:cs="Arial" w:eastAsia="Arial" w:hAnsi="Arial"/>
          <w:sz w:val="17"/>
          <w:szCs w:val="17"/>
          <w:color w:val="auto"/>
        </w:rPr>
        <w:t xml:space="preserve">The table above does not include lease revenue from the Company’s Medical Devices segment of $2.1 million and $5.2 million for the eight months ended August 31, 2020 and the year December 31, 2019, respectively. For additional information, see Note 10,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9360" w:type="dxa"/>
            <w:vAlign w:val="bottom"/>
            <w:gridSpan w:val="2"/>
          </w:tcPr>
          <w:p>
            <w:pPr>
              <w:spacing w:after="0"/>
              <w:rPr>
                <w:sz w:val="20"/>
                <w:szCs w:val="20"/>
                <w:color w:val="auto"/>
              </w:rPr>
            </w:pPr>
            <w:r>
              <w:rPr>
                <w:rFonts w:ascii="Arial" w:cs="Arial" w:eastAsia="Arial" w:hAnsi="Arial"/>
                <w:sz w:val="18"/>
                <w:szCs w:val="18"/>
                <w:i w:val="1"/>
                <w:iCs w:val="1"/>
                <w:color w:val="auto"/>
              </w:rPr>
              <w:t>Contract Balances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9360" w:type="dxa"/>
            <w:vAlign w:val="bottom"/>
            <w:gridSpan w:val="2"/>
          </w:tcPr>
          <w:p>
            <w:pPr>
              <w:spacing w:after="0"/>
              <w:rPr>
                <w:sz w:val="20"/>
                <w:szCs w:val="20"/>
                <w:color w:val="auto"/>
              </w:rPr>
            </w:pPr>
            <w:r>
              <w:rPr>
                <w:rFonts w:ascii="Arial" w:cs="Arial" w:eastAsia="Arial" w:hAnsi="Arial"/>
                <w:sz w:val="18"/>
                <w:szCs w:val="18"/>
                <w:color w:val="auto"/>
                <w:w w:val="91"/>
              </w:rPr>
              <w:t>The following table provides information about receivables, contract assets and contract liabilities from contracts with customers: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1"/>
        </w:trPr>
        <w:tc>
          <w:tcPr>
            <w:tcW w:w="93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2019</w:t>
            </w:r>
          </w:p>
        </w:tc>
      </w:tr>
      <w:tr>
        <w:trPr>
          <w:trHeight w:val="34"/>
        </w:trPr>
        <w:tc>
          <w:tcPr>
            <w:tcW w:w="9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229"/>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r>
      <w:tr>
        <w:trPr>
          <w:trHeight w:val="230"/>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3,512</w:t>
            </w:r>
          </w:p>
        </w:tc>
      </w:tr>
      <w:tr>
        <w:trPr>
          <w:trHeight w:val="229"/>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r>
    </w:tbl>
    <w:p>
      <w:pPr>
        <w:spacing w:after="0" w:line="30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Receivables, Net</w:t>
      </w:r>
      <w:r>
        <w:rPr>
          <w:rFonts w:ascii="Arial" w:cs="Arial" w:eastAsia="Arial" w:hAnsi="Arial"/>
          <w:sz w:val="18"/>
          <w:szCs w:val="18"/>
          <w:color w:val="auto"/>
        </w:rPr>
        <w:t>—Receivables, net, included amounts billed and due from customers. The amounts due are stated at their net estimated realizable value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are classified as current or noncurrent based on the timing of when the Company expects to receive payment. The Company maintained an allowance for doubtful accounts to provide for the estimated amount of receivables that would not be collected. The allowance was based upon an assessment of customer creditworthiness, historical payment experience, the age of outstanding receivables and collateral to the extent applicable. Receivables, net for our Pharmaceutical segment were classified as a current asset and included in Assets held for sale. See Note 4, </w:t>
      </w:r>
      <w:r>
        <w:rPr>
          <w:rFonts w:ascii="Arial" w:cs="Arial" w:eastAsia="Arial" w:hAnsi="Arial"/>
          <w:sz w:val="18"/>
          <w:szCs w:val="18"/>
          <w:i w:val="1"/>
          <w:iCs w:val="1"/>
          <w:color w:val="auto"/>
        </w:rPr>
        <w:t>Discontinued Operations Classified as Assets</w:t>
      </w:r>
      <w:r>
        <w:rPr>
          <w:rFonts w:ascii="Arial" w:cs="Arial" w:eastAsia="Arial" w:hAnsi="Arial"/>
          <w:sz w:val="18"/>
          <w:szCs w:val="18"/>
          <w:color w:val="auto"/>
        </w:rPr>
        <w:t xml:space="preserve"> </w:t>
      </w:r>
      <w:r>
        <w:rPr>
          <w:rFonts w:ascii="Arial" w:cs="Arial" w:eastAsia="Arial" w:hAnsi="Arial"/>
          <w:sz w:val="18"/>
          <w:szCs w:val="18"/>
          <w:i w:val="1"/>
          <w:iCs w:val="1"/>
          <w:color w:val="auto"/>
        </w:rPr>
        <w:t>Held for Sale</w:t>
      </w:r>
      <w:r>
        <w:rPr>
          <w:rFonts w:ascii="Arial" w:cs="Arial" w:eastAsia="Arial" w:hAnsi="Arial"/>
          <w:sz w:val="18"/>
          <w:szCs w:val="18"/>
          <w:color w:val="auto"/>
        </w:rPr>
        <w:t>, for additional information.</w:t>
      </w:r>
    </w:p>
    <w:p>
      <w:pPr>
        <w:spacing w:after="0" w:line="21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Contract Assets</w:t>
      </w:r>
      <w:r>
        <w:rPr>
          <w:rFonts w:ascii="Arial" w:cs="Arial" w:eastAsia="Arial" w:hAnsi="Arial"/>
          <w:sz w:val="18"/>
          <w:szCs w:val="18"/>
          <w:color w:val="auto"/>
        </w:rPr>
        <w:t>—The Company’s contract assets represented revenue recognized for performance obligations completed before an unconditional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exists, and therefore invoicing or associated reporting from the customer regarding the computation of the net product sales had not yet occurred. The Company’s contract assets were only attributable to the Pharmaceutical segment, and as such classified contract assets in Assets held for sale on the Company’s Consolidated Balance Sheet.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Medical Devices</w:t>
            </w:r>
          </w:p>
        </w:tc>
        <w:tc>
          <w:tcPr>
            <w:tcW w:w="20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Pharmaceutical</w:t>
            </w:r>
          </w:p>
        </w:tc>
        <w:tc>
          <w:tcPr>
            <w:tcW w:w="38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34"/>
        </w:trPr>
        <w:tc>
          <w:tcPr>
            <w:tcW w:w="5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at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r>
      <w:tr>
        <w:trPr>
          <w:trHeight w:val="229"/>
        </w:trPr>
        <w:tc>
          <w:tcPr>
            <w:tcW w:w="5860" w:type="dxa"/>
            <w:vAlign w:val="bottom"/>
            <w:gridSpan w:val="2"/>
          </w:tcPr>
          <w:p>
            <w:pPr>
              <w:ind w:left="220"/>
              <w:spacing w:after="0"/>
              <w:rPr>
                <w:sz w:val="20"/>
                <w:szCs w:val="20"/>
                <w:color w:val="auto"/>
              </w:rPr>
            </w:pPr>
            <w:r>
              <w:rPr>
                <w:rFonts w:ascii="Arial" w:cs="Arial" w:eastAsia="Arial" w:hAnsi="Arial"/>
                <w:sz w:val="18"/>
                <w:szCs w:val="18"/>
                <w:color w:val="auto"/>
              </w:rPr>
              <w:t>Contract assets recognized</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(6,730)</w:t>
            </w:r>
          </w:p>
        </w:tc>
      </w:tr>
      <w:tr>
        <w:trPr>
          <w:trHeight w:val="230"/>
        </w:trPr>
        <w:tc>
          <w:tcPr>
            <w:tcW w:w="5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Payments received</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r>
      <w:tr>
        <w:trPr>
          <w:trHeight w:val="229"/>
        </w:trPr>
        <w:tc>
          <w:tcPr>
            <w:tcW w:w="5860" w:type="dxa"/>
            <w:vAlign w:val="bottom"/>
            <w:gridSpan w:val="2"/>
          </w:tcPr>
          <w:p>
            <w:pPr>
              <w:ind w:left="240"/>
              <w:spacing w:after="0"/>
              <w:rPr>
                <w:sz w:val="20"/>
                <w:szCs w:val="20"/>
                <w:color w:val="auto"/>
              </w:rPr>
            </w:pPr>
            <w:r>
              <w:rPr>
                <w:rFonts w:ascii="Arial" w:cs="Arial" w:eastAsia="Arial" w:hAnsi="Arial"/>
                <w:sz w:val="18"/>
                <w:szCs w:val="18"/>
                <w:color w:val="auto"/>
              </w:rPr>
              <w:t>Contract assets disposed of</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(5,344)</w:t>
            </w:r>
          </w:p>
        </w:tc>
      </w:tr>
      <w:tr>
        <w:trPr>
          <w:trHeight w:val="248"/>
        </w:trPr>
        <w:tc>
          <w:tcPr>
            <w:tcW w:w="5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at December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Contract Liabilities</w:t>
      </w:r>
      <w:r>
        <w:rPr>
          <w:rFonts w:ascii="Arial" w:cs="Arial" w:eastAsia="Arial" w:hAnsi="Arial"/>
          <w:sz w:val="18"/>
          <w:szCs w:val="18"/>
          <w:color w:val="auto"/>
        </w:rPr>
        <w:t>—The Company’s contract liabilities consisted of deferred revenue for products sold to customers for which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had not been completed by the Company. The Company classified deferred revenue as current or noncurrent based on the timing of when it expected to recognize revenue. The noncurrent portion of deferred revenue was included in Other long-term liabilities on the Company’s Consolidated Balance Sheet. The Pharmaceutical segment deferred revenue was classified as a current liability and included in Liabilities held for sale on the Company’s Consolidated Balance Sheet.</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Medical Devices</w:t>
            </w:r>
          </w:p>
        </w:tc>
        <w:tc>
          <w:tcPr>
            <w:tcW w:w="20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Pharmaceutical</w:t>
            </w:r>
          </w:p>
        </w:tc>
        <w:tc>
          <w:tcPr>
            <w:tcW w:w="38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34"/>
        </w:trPr>
        <w:tc>
          <w:tcPr>
            <w:tcW w:w="5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at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r>
      <w:tr>
        <w:trPr>
          <w:trHeight w:val="230"/>
        </w:trPr>
        <w:tc>
          <w:tcPr>
            <w:tcW w:w="5860" w:type="dxa"/>
            <w:vAlign w:val="bottom"/>
            <w:gridSpan w:val="2"/>
          </w:tcPr>
          <w:p>
            <w:pPr>
              <w:ind w:left="2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2,317</w:t>
            </w:r>
          </w:p>
        </w:tc>
      </w:tr>
      <w:tr>
        <w:trPr>
          <w:trHeight w:val="230"/>
        </w:trPr>
        <w:tc>
          <w:tcPr>
            <w:tcW w:w="5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recognized in revenue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r>
      <w:tr>
        <w:trPr>
          <w:trHeight w:val="230"/>
        </w:trPr>
        <w:tc>
          <w:tcPr>
            <w:tcW w:w="58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Contract liabilities disposed of</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21.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the Company’s segments for the eight months ended August 31, 2020 and the year ended December 31, 2019 is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i w:val="1"/>
                <w:iCs w:val="1"/>
                <w:color w:val="auto"/>
              </w:rPr>
              <w:t>Revenues by segment</w:t>
            </w:r>
          </w:p>
        </w:tc>
        <w:tc>
          <w:tcPr>
            <w:tcW w:w="160" w:type="dxa"/>
            <w:vAlign w:val="bottom"/>
          </w:tcPr>
          <w:p>
            <w:pPr>
              <w:spacing w:after="0"/>
              <w:rPr>
                <w:sz w:val="19"/>
                <w:szCs w:val="19"/>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Eight Months Ended</w:t>
            </w:r>
          </w:p>
        </w:tc>
        <w:tc>
          <w:tcPr>
            <w:tcW w:w="200" w:type="dxa"/>
            <w:vAlign w:val="bottom"/>
          </w:tcPr>
          <w:p>
            <w:pPr>
              <w:spacing w:after="0"/>
              <w:rPr>
                <w:sz w:val="19"/>
                <w:szCs w:val="19"/>
                <w:color w:val="auto"/>
              </w:rPr>
            </w:pPr>
          </w:p>
        </w:tc>
        <w:tc>
          <w:tcPr>
            <w:tcW w:w="1840" w:type="dxa"/>
            <w:vAlign w:val="bottom"/>
          </w:tcPr>
          <w:p>
            <w:pPr>
              <w:jc w:val="right"/>
              <w:ind w:right="47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70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August 31, 2020</w:t>
            </w:r>
          </w:p>
        </w:tc>
        <w:tc>
          <w:tcPr>
            <w:tcW w:w="20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December 31, 2019</w:t>
            </w:r>
          </w:p>
        </w:tc>
        <w:tc>
          <w:tcPr>
            <w:tcW w:w="0" w:type="dxa"/>
            <w:vAlign w:val="bottom"/>
          </w:tcPr>
          <w:p>
            <w:pPr>
              <w:spacing w:after="0"/>
              <w:rPr>
                <w:sz w:val="1"/>
                <w:szCs w:val="1"/>
                <w:color w:val="auto"/>
              </w:rPr>
            </w:pPr>
          </w:p>
        </w:tc>
      </w:tr>
      <w:tr>
        <w:trPr>
          <w:trHeight w:val="34"/>
        </w:trPr>
        <w:tc>
          <w:tcPr>
            <w:tcW w:w="6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Medical Devices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30,742</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Strategic Positions</w:t>
            </w:r>
          </w:p>
        </w:tc>
        <w:tc>
          <w:tcPr>
            <w:tcW w:w="16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w:t>
            </w:r>
          </w:p>
        </w:tc>
        <w:tc>
          <w:tcPr>
            <w:tcW w:w="1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Generating Assets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9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0" w:right="620"/>
        <w:spacing w:after="0" w:line="277" w:lineRule="auto"/>
        <w:rPr>
          <w:sz w:val="20"/>
          <w:szCs w:val="20"/>
          <w:color w:val="auto"/>
        </w:rPr>
      </w:pPr>
      <w:r>
        <w:rPr>
          <w:rFonts w:ascii="Arial" w:cs="Arial" w:eastAsia="Arial" w:hAnsi="Arial"/>
          <w:sz w:val="18"/>
          <w:szCs w:val="18"/>
          <w:color w:val="auto"/>
        </w:rPr>
        <w:t xml:space="preserve">The table above excludes revenues related to discontinued operations. See Note 4, </w:t>
      </w:r>
      <w:r>
        <w:rPr>
          <w:rFonts w:ascii="Arial" w:cs="Arial" w:eastAsia="Arial" w:hAnsi="Arial"/>
          <w:sz w:val="18"/>
          <w:szCs w:val="18"/>
          <w:i w:val="1"/>
          <w:iCs w:val="1"/>
          <w:color w:val="auto"/>
        </w:rPr>
        <w:t>Discontinued Operations Classified as Assets Held for Sale</w:t>
      </w:r>
      <w:r>
        <w:rPr>
          <w:rFonts w:ascii="Arial" w:cs="Arial" w:eastAsia="Arial" w:hAnsi="Arial"/>
          <w:sz w:val="18"/>
          <w:szCs w:val="18"/>
          <w:color w:val="auto"/>
        </w:rPr>
        <w:t>, for additional information.</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i w:val="1"/>
                <w:iCs w:val="1"/>
                <w:color w:val="auto"/>
              </w:rPr>
              <w:t>(Loss) income by segment</w:t>
            </w:r>
          </w:p>
        </w:tc>
        <w:tc>
          <w:tcPr>
            <w:tcW w:w="16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Eight Months Ended</w:t>
            </w:r>
          </w:p>
        </w:tc>
        <w:tc>
          <w:tcPr>
            <w:tcW w:w="200" w:type="dxa"/>
            <w:vAlign w:val="bottom"/>
          </w:tcPr>
          <w:p>
            <w:pPr>
              <w:spacing w:after="0"/>
              <w:rPr>
                <w:sz w:val="19"/>
                <w:szCs w:val="19"/>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20"/>
                <w:szCs w:val="20"/>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August 31, 2020</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34"/>
        </w:trPr>
        <w:tc>
          <w:tcPr>
            <w:tcW w:w="6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Medical Devices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r>
      <w:tr>
        <w:trPr>
          <w:trHeight w:val="229"/>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Strategic Positions</w:t>
            </w:r>
          </w:p>
        </w:tc>
        <w:tc>
          <w:tcPr>
            <w:tcW w:w="1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(15,723)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28,758</w:t>
            </w:r>
          </w:p>
        </w:tc>
      </w:tr>
      <w:tr>
        <w:trPr>
          <w:trHeight w:val="230"/>
        </w:trPr>
        <w:tc>
          <w:tcPr>
            <w:tcW w:w="7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Pharmaceutical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(19,048)</w:t>
            </w:r>
          </w:p>
        </w:tc>
      </w:tr>
      <w:tr>
        <w:trPr>
          <w:trHeight w:val="229"/>
        </w:trPr>
        <w:tc>
          <w:tcPr>
            <w:tcW w:w="70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Income Generating Assets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(74,891)</w:t>
            </w:r>
          </w:p>
        </w:tc>
      </w:tr>
      <w:tr>
        <w:trPr>
          <w:trHeight w:val="22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(70,411)</w:t>
            </w:r>
          </w:p>
        </w:tc>
      </w:tr>
      <w:tr>
        <w:trPr>
          <w:trHeight w:val="229"/>
        </w:trPr>
        <w:tc>
          <w:tcPr>
            <w:tcW w:w="70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Change in fair value of warrants not allocated to segments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80" w:right="360" w:firstLine="9"/>
        <w:spacing w:after="0" w:line="295" w:lineRule="auto"/>
        <w:tabs>
          <w:tab w:leader="none" w:pos="245"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 xml:space="preserve">The (Loss) income by segment presented above includes amounts related to both continuing and discontinued operations. See Note 4, </w:t>
      </w:r>
      <w:r>
        <w:rPr>
          <w:rFonts w:ascii="Arial" w:cs="Arial" w:eastAsia="Arial" w:hAnsi="Arial"/>
          <w:sz w:val="15"/>
          <w:szCs w:val="15"/>
          <w:i w:val="1"/>
          <w:iCs w:val="1"/>
          <w:color w:val="auto"/>
        </w:rPr>
        <w:t>Discontinued</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 Classified as Assets Held for Sale</w:t>
      </w:r>
      <w:r>
        <w:rPr>
          <w:rFonts w:ascii="Arial" w:cs="Arial" w:eastAsia="Arial" w:hAnsi="Arial"/>
          <w:sz w:val="15"/>
          <w:szCs w:val="15"/>
          <w:color w:val="auto"/>
        </w:rPr>
        <w:t>, for additional information.</w:t>
      </w:r>
    </w:p>
    <w:p>
      <w:pPr>
        <w:spacing w:after="0" w:line="5" w:lineRule="exact"/>
        <w:rPr>
          <w:rFonts w:ascii="Arial" w:cs="Arial" w:eastAsia="Arial" w:hAnsi="Arial"/>
          <w:sz w:val="19"/>
          <w:szCs w:val="19"/>
          <w:color w:val="auto"/>
          <w:vertAlign w:val="superscript"/>
        </w:rPr>
      </w:pPr>
    </w:p>
    <w:p>
      <w:pPr>
        <w:ind w:left="80" w:right="200" w:firstLine="9"/>
        <w:spacing w:after="0" w:line="269" w:lineRule="auto"/>
        <w:tabs>
          <w:tab w:leader="none" w:pos="261"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The change in fair value of warrants not allocated to segments presented above includes the amounts related to the change in fair value of the Evofem warrants after the distribution of the Evofem common stock to PDL stockholders on May 21, 2020. The Strategic Positions segment ceased to be a reporting segment as of this date.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gridSpan w:val="2"/>
          </w:tcPr>
          <w:p>
            <w:pPr>
              <w:ind w:left="20"/>
              <w:spacing w:after="0"/>
              <w:rPr>
                <w:sz w:val="20"/>
                <w:szCs w:val="20"/>
                <w:color w:val="auto"/>
              </w:rPr>
            </w:pPr>
            <w:r>
              <w:rPr>
                <w:rFonts w:ascii="Arial" w:cs="Arial" w:eastAsia="Arial" w:hAnsi="Arial"/>
                <w:sz w:val="18"/>
                <w:szCs w:val="18"/>
                <w:i w:val="1"/>
                <w:iCs w:val="1"/>
                <w:color w:val="auto"/>
              </w:rPr>
              <w:t>Long-lived assets by segment</w:t>
            </w:r>
          </w:p>
        </w:tc>
        <w:tc>
          <w:tcPr>
            <w:tcW w:w="200" w:type="dxa"/>
            <w:vAlign w:val="bottom"/>
          </w:tcPr>
          <w:p>
            <w:pPr>
              <w:spacing w:after="0"/>
              <w:rPr>
                <w:sz w:val="19"/>
                <w:szCs w:val="19"/>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92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34"/>
        </w:trPr>
        <w:tc>
          <w:tcPr>
            <w:tcW w:w="9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r>
      <w:tr>
        <w:trPr>
          <w:trHeight w:val="230"/>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Medical Devices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r>
      <w:tr>
        <w:trPr>
          <w:trHeight w:val="230"/>
        </w:trPr>
        <w:tc>
          <w:tcPr>
            <w:tcW w:w="9220" w:type="dxa"/>
            <w:vAlign w:val="bottom"/>
            <w:gridSpan w:val="2"/>
          </w:tcPr>
          <w:p>
            <w:pPr>
              <w:ind w:left="20"/>
              <w:spacing w:after="0"/>
              <w:rPr>
                <w:sz w:val="20"/>
                <w:szCs w:val="20"/>
                <w:color w:val="auto"/>
              </w:rPr>
            </w:pPr>
            <w:r>
              <w:rPr>
                <w:rFonts w:ascii="Arial" w:cs="Arial" w:eastAsia="Arial" w:hAnsi="Arial"/>
                <w:sz w:val="18"/>
                <w:szCs w:val="18"/>
                <w:color w:val="auto"/>
              </w:rPr>
              <w:t>Strategic Positions</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Pharmaceutical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30"/>
        </w:trPr>
        <w:tc>
          <w:tcPr>
            <w:tcW w:w="9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Generating Assets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48"/>
        </w:trPr>
        <w:tc>
          <w:tcPr>
            <w:tcW w:w="9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80" w:right="740" w:hanging="72"/>
        <w:spacing w:after="0" w:line="317" w:lineRule="auto"/>
        <w:tabs>
          <w:tab w:leader="none" w:pos="164"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 xml:space="preserve">The amounts above include Property and Equipment in the Pharmaceutical segment classified as Assets held for sale. See Note 4, </w:t>
      </w:r>
      <w:r>
        <w:rPr>
          <w:rFonts w:ascii="Arial" w:cs="Arial" w:eastAsia="Arial" w:hAnsi="Arial"/>
          <w:sz w:val="15"/>
          <w:szCs w:val="15"/>
          <w:i w:val="1"/>
          <w:iCs w:val="1"/>
          <w:color w:val="auto"/>
        </w:rPr>
        <w:t>Discontinued</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 Classified as Assets Held for Sale</w:t>
      </w:r>
      <w:r>
        <w:rPr>
          <w:rFonts w:ascii="Arial" w:cs="Arial" w:eastAsia="Arial" w:hAnsi="Arial"/>
          <w:sz w:val="15"/>
          <w:szCs w:val="15"/>
          <w:color w:val="auto"/>
        </w:rPr>
        <w:t>, for additional information.</w:t>
      </w:r>
    </w:p>
    <w:p>
      <w:pPr>
        <w:spacing w:after="0" w:line="15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operations for the Medical Devices segment were primarily located in the United States and the operations for the Pharmaceutical segment were primarily located in Italy, Ireland and the United States.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22. Concentration of Credit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Line Concentration</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percentage of total revenue recognized, which individually accounted for 10% or more of the Company’s total revenues in one or more of the periods presented below, was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Eight Months Ended</w:t>
            </w:r>
          </w:p>
        </w:tc>
        <w:tc>
          <w:tcPr>
            <w:tcW w:w="3820" w:type="dxa"/>
            <w:vAlign w:val="bottom"/>
            <w:gridSpan w:val="3"/>
            <w:vMerge w:val="restart"/>
          </w:tcPr>
          <w:p>
            <w:pPr>
              <w:jc w:val="right"/>
              <w:ind w:right="8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August 31,</w:t>
            </w:r>
          </w:p>
        </w:tc>
        <w:tc>
          <w:tcPr>
            <w:tcW w:w="38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880" w:type="dxa"/>
            <w:vAlign w:val="bottom"/>
            <w:tcBorders>
              <w:top w:val="single" w:sz="8" w:color="auto"/>
            </w:tcBorders>
          </w:tcPr>
          <w:p>
            <w:pPr>
              <w:jc w:val="center"/>
              <w:spacing w:after="0" w:line="223" w:lineRule="exact"/>
              <w:rPr>
                <w:sz w:val="20"/>
                <w:szCs w:val="20"/>
                <w:color w:val="auto"/>
              </w:rPr>
            </w:pPr>
            <w:r>
              <w:rPr>
                <w:rFonts w:ascii="Arial" w:cs="Arial" w:eastAsia="Arial" w:hAnsi="Arial"/>
                <w:sz w:val="18"/>
                <w:szCs w:val="18"/>
                <w:b w:val="1"/>
                <w:bCs w:val="1"/>
                <w:color w:val="auto"/>
                <w:w w:val="81"/>
              </w:rPr>
              <w:t xml:space="preserve">2020 </w:t>
            </w:r>
            <w:r>
              <w:rPr>
                <w:rFonts w:ascii="Arial" w:cs="Arial" w:eastAsia="Arial" w:hAnsi="Arial"/>
                <w:sz w:val="23"/>
                <w:szCs w:val="23"/>
                <w:b w:val="1"/>
                <w:bCs w:val="1"/>
                <w:color w:val="auto"/>
                <w:w w:val="81"/>
                <w:vertAlign w:val="superscript"/>
              </w:rPr>
              <w:t>(1)</w:t>
            </w:r>
          </w:p>
        </w:tc>
        <w:tc>
          <w:tcPr>
            <w:tcW w:w="120" w:type="dxa"/>
            <w:vAlign w:val="bottom"/>
          </w:tcPr>
          <w:p>
            <w:pPr>
              <w:spacing w:after="0"/>
              <w:rPr>
                <w:sz w:val="19"/>
                <w:szCs w:val="19"/>
                <w:color w:val="auto"/>
              </w:rPr>
            </w:pPr>
          </w:p>
        </w:tc>
        <w:tc>
          <w:tcPr>
            <w:tcW w:w="1860" w:type="dxa"/>
            <w:vAlign w:val="bottom"/>
            <w:tcBorders>
              <w:top w:val="single" w:sz="8" w:color="auto"/>
            </w:tcBorders>
          </w:tcPr>
          <w:p>
            <w:pPr>
              <w:jc w:val="right"/>
              <w:ind w:right="590"/>
              <w:spacing w:after="0" w:line="223" w:lineRule="exact"/>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3"/>
                <w:szCs w:val="23"/>
                <w:b w:val="1"/>
                <w:bCs w:val="1"/>
                <w:color w:val="auto"/>
                <w:vertAlign w:val="superscript"/>
              </w:rPr>
              <w:t>(1)</w:t>
            </w:r>
          </w:p>
        </w:tc>
        <w:tc>
          <w:tcPr>
            <w:tcW w:w="1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570"/>
              <w:spacing w:after="0" w:line="223" w:lineRule="exact"/>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34"/>
        </w:trPr>
        <w:tc>
          <w:tcPr>
            <w:tcW w:w="5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Biogen</w:t>
            </w:r>
          </w:p>
        </w:tc>
        <w:tc>
          <w:tcPr>
            <w:tcW w:w="20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 %</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LENSAR</w:t>
            </w:r>
          </w:p>
        </w:tc>
        <w:tc>
          <w:tcPr>
            <w:tcW w:w="1880" w:type="dxa"/>
            <w:vAlign w:val="bottom"/>
          </w:tcPr>
          <w:p>
            <w:pPr>
              <w:ind w:left="1480"/>
              <w:spacing w:after="0"/>
              <w:rPr>
                <w:sz w:val="20"/>
                <w:szCs w:val="20"/>
                <w:color w:val="auto"/>
              </w:rPr>
            </w:pPr>
            <w:r>
              <w:rPr>
                <w:rFonts w:ascii="Arial" w:cs="Arial" w:eastAsia="Arial" w:hAnsi="Arial"/>
                <w:sz w:val="18"/>
                <w:szCs w:val="18"/>
                <w:color w:val="auto"/>
                <w:w w:val="92"/>
              </w:rPr>
              <w:t>99 %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80" w:right="20" w:hanging="72"/>
        <w:spacing w:after="0" w:line="300" w:lineRule="auto"/>
        <w:tabs>
          <w:tab w:leader="none" w:pos="164"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 xml:space="preserve">The amounts above exclude product sales in our Pharmaceutical segment and royalty rights classified as held for sale in the Income Generating Assets segment, each of which is included in the Statements of Operations as Loss from discontinued operations. See Note 4, </w:t>
      </w:r>
      <w:r>
        <w:rPr>
          <w:rFonts w:ascii="Arial" w:cs="Arial" w:eastAsia="Arial" w:hAnsi="Arial"/>
          <w:sz w:val="15"/>
          <w:szCs w:val="15"/>
          <w:i w:val="1"/>
          <w:iCs w:val="1"/>
          <w:color w:val="auto"/>
        </w:rPr>
        <w:t>Discontinued Operations Classified</w:t>
      </w:r>
      <w:r>
        <w:rPr>
          <w:rFonts w:ascii="Arial" w:cs="Arial" w:eastAsia="Arial" w:hAnsi="Arial"/>
          <w:sz w:val="15"/>
          <w:szCs w:val="15"/>
          <w:color w:val="auto"/>
        </w:rPr>
        <w:t xml:space="preserve"> </w:t>
      </w:r>
      <w:r>
        <w:rPr>
          <w:rFonts w:ascii="Arial" w:cs="Arial" w:eastAsia="Arial" w:hAnsi="Arial"/>
          <w:sz w:val="15"/>
          <w:szCs w:val="15"/>
          <w:i w:val="1"/>
          <w:iCs w:val="1"/>
          <w:color w:val="auto"/>
        </w:rPr>
        <w:t>as Assets Held for Sale</w:t>
      </w:r>
      <w:r>
        <w:rPr>
          <w:rFonts w:ascii="Arial" w:cs="Arial" w:eastAsia="Arial" w:hAnsi="Arial"/>
          <w:sz w:val="15"/>
          <w:szCs w:val="15"/>
          <w:color w:val="auto"/>
        </w:rPr>
        <w:t>,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by geographic area are based on the country of domicile of the counterparty to the agreement are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Eight Months Ended</w:t>
            </w:r>
          </w:p>
        </w:tc>
        <w:tc>
          <w:tcPr>
            <w:tcW w:w="400" w:type="dxa"/>
            <w:vAlign w:val="bottom"/>
          </w:tcPr>
          <w:p>
            <w:pPr>
              <w:spacing w:after="0"/>
              <w:rPr>
                <w:sz w:val="17"/>
                <w:szCs w:val="17"/>
                <w:color w:val="auto"/>
              </w:rPr>
            </w:pPr>
          </w:p>
        </w:tc>
        <w:tc>
          <w:tcPr>
            <w:tcW w:w="326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31,</w:t>
            </w:r>
          </w:p>
        </w:tc>
        <w:tc>
          <w:tcPr>
            <w:tcW w:w="400" w:type="dxa"/>
            <w:vAlign w:val="bottom"/>
          </w:tcPr>
          <w:p>
            <w:pPr>
              <w:spacing w:after="0"/>
              <w:rPr>
                <w:sz w:val="19"/>
                <w:szCs w:val="19"/>
                <w:color w:val="auto"/>
              </w:rPr>
            </w:pPr>
          </w:p>
        </w:tc>
        <w:tc>
          <w:tcPr>
            <w:tcW w:w="32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34"/>
        </w:trPr>
        <w:tc>
          <w:tcPr>
            <w:tcW w:w="5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21,434</w:t>
            </w:r>
          </w:p>
        </w:tc>
        <w:tc>
          <w:tcPr>
            <w:tcW w:w="0" w:type="dxa"/>
            <w:vAlign w:val="bottom"/>
          </w:tcPr>
          <w:p>
            <w:pPr>
              <w:spacing w:after="0"/>
              <w:rPr>
                <w:sz w:val="1"/>
                <w:szCs w:val="1"/>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23"/>
        </w:trPr>
        <w:tc>
          <w:tcPr>
            <w:tcW w:w="5640" w:type="dxa"/>
            <w:vAlign w:val="bottom"/>
            <w:gridSpan w:val="2"/>
          </w:tcPr>
          <w:p>
            <w:pPr>
              <w:ind w:left="220"/>
              <w:spacing w:after="0" w:line="223" w:lineRule="exact"/>
              <w:rPr>
                <w:sz w:val="20"/>
                <w:szCs w:val="20"/>
                <w:color w:val="auto"/>
              </w:rPr>
            </w:pPr>
            <w:r>
              <w:rPr>
                <w:rFonts w:ascii="Arial" w:cs="Arial" w:eastAsia="Arial" w:hAnsi="Arial"/>
                <w:sz w:val="18"/>
                <w:szCs w:val="18"/>
                <w:color w:val="auto"/>
              </w:rPr>
              <w:t xml:space="preserve">Total revenues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jc w:val="both"/>
        <w:ind w:right="80" w:firstLine="8"/>
        <w:spacing w:after="0" w:line="300" w:lineRule="auto"/>
        <w:tabs>
          <w:tab w:leader="none" w:pos="165"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 xml:space="preserve">The amounts above exclude product sales in our Pharmaceutical segment and royalty rights held for sale in the Income Generating Assets segment, each of which is included in the Statements of Operations as Loss from discontinued operations. See Note 4, </w:t>
      </w:r>
      <w:r>
        <w:rPr>
          <w:rFonts w:ascii="Arial" w:cs="Arial" w:eastAsia="Arial" w:hAnsi="Arial"/>
          <w:sz w:val="15"/>
          <w:szCs w:val="15"/>
          <w:i w:val="1"/>
          <w:iCs w:val="1"/>
          <w:color w:val="auto"/>
        </w:rPr>
        <w:t>Discontinued Operations Classified as Assets Held</w:t>
      </w:r>
      <w:r>
        <w:rPr>
          <w:rFonts w:ascii="Arial" w:cs="Arial" w:eastAsia="Arial" w:hAnsi="Arial"/>
          <w:sz w:val="15"/>
          <w:szCs w:val="15"/>
          <w:color w:val="auto"/>
        </w:rPr>
        <w:t xml:space="preserve"> </w:t>
      </w:r>
      <w:r>
        <w:rPr>
          <w:rFonts w:ascii="Arial" w:cs="Arial" w:eastAsia="Arial" w:hAnsi="Arial"/>
          <w:sz w:val="15"/>
          <w:szCs w:val="15"/>
          <w:i w:val="1"/>
          <w:iCs w:val="1"/>
          <w:color w:val="auto"/>
        </w:rPr>
        <w:t>for Sale</w:t>
      </w:r>
      <w:r>
        <w:rPr>
          <w:rFonts w:ascii="Arial" w:cs="Arial" w:eastAsia="Arial" w:hAnsi="Arial"/>
          <w:sz w:val="15"/>
          <w:szCs w:val="15"/>
          <w:color w:val="auto"/>
        </w:rPr>
        <w:t>,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One customer accounted for more than 10% of accounts receivable, net as of December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financial reporting purposes, Loss before income taxes from continuing operations includes the following components: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Eight Months Ended</w:t>
            </w:r>
          </w:p>
        </w:tc>
        <w:tc>
          <w:tcPr>
            <w:tcW w:w="400" w:type="dxa"/>
            <w:vAlign w:val="bottom"/>
          </w:tcPr>
          <w:p>
            <w:pPr>
              <w:spacing w:after="0"/>
              <w:rPr>
                <w:sz w:val="18"/>
                <w:szCs w:val="18"/>
                <w:color w:val="auto"/>
              </w:rPr>
            </w:pPr>
          </w:p>
        </w:tc>
        <w:tc>
          <w:tcPr>
            <w:tcW w:w="3280" w:type="dxa"/>
            <w:vAlign w:val="bottom"/>
            <w:gridSpan w:val="4"/>
            <w:vMerge w:val="restart"/>
          </w:tcPr>
          <w:p>
            <w:pPr>
              <w:jc w:val="right"/>
              <w:ind w:right="7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3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August 31,</w:t>
            </w:r>
          </w:p>
        </w:tc>
        <w:tc>
          <w:tcPr>
            <w:tcW w:w="400" w:type="dxa"/>
            <w:vAlign w:val="bottom"/>
          </w:tcPr>
          <w:p>
            <w:pPr>
              <w:spacing w:after="0"/>
              <w:rPr>
                <w:sz w:val="19"/>
                <w:szCs w:val="19"/>
                <w:color w:val="auto"/>
              </w:rPr>
            </w:pPr>
          </w:p>
        </w:tc>
        <w:tc>
          <w:tcPr>
            <w:tcW w:w="32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(39,518)</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Foreign</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(39,518)</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260" w:type="dxa"/>
            <w:vAlign w:val="bottom"/>
          </w:tcPr>
          <w:p>
            <w:pPr>
              <w:spacing w:after="0"/>
              <w:rPr>
                <w:sz w:val="24"/>
                <w:szCs w:val="24"/>
                <w:color w:val="auto"/>
              </w:rPr>
            </w:pPr>
          </w:p>
        </w:tc>
        <w:tc>
          <w:tcPr>
            <w:tcW w:w="2680" w:type="dxa"/>
            <w:vAlign w:val="bottom"/>
            <w:gridSpan w:val="3"/>
          </w:tcPr>
          <w:p>
            <w:pPr>
              <w:jc w:val="right"/>
              <w:ind w:right="130"/>
              <w:spacing w:after="0"/>
              <w:rPr>
                <w:sz w:val="20"/>
                <w:szCs w:val="20"/>
                <w:color w:val="auto"/>
              </w:rPr>
            </w:pPr>
            <w:r>
              <w:rPr>
                <w:rFonts w:ascii="Arial" w:cs="Arial" w:eastAsia="Arial" w:hAnsi="Arial"/>
                <w:sz w:val="18"/>
                <w:szCs w:val="18"/>
                <w:color w:val="auto"/>
              </w:rPr>
              <w:t>98</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8" w:name="page99"/>
    <w:bookmarkEnd w:id="98"/>
    <w:p>
      <w:pPr>
        <w:ind w:right="100"/>
        <w:spacing w:after="0" w:line="277" w:lineRule="auto"/>
        <w:rPr>
          <w:sz w:val="20"/>
          <w:szCs w:val="20"/>
          <w:color w:val="auto"/>
        </w:rPr>
      </w:pPr>
      <w:r>
        <w:rPr>
          <w:rFonts w:ascii="Arial" w:cs="Arial" w:eastAsia="Arial" w:hAnsi="Arial"/>
          <w:sz w:val="18"/>
          <w:szCs w:val="18"/>
          <w:color w:val="auto"/>
        </w:rPr>
        <w:t>The provision for income taxes from continuing operations for the eight months ended August 31, 2020 and the years ended December 31, 2019 and 2018 consisted of the following:</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Eight Months Ended</w:t>
            </w:r>
          </w:p>
        </w:tc>
        <w:tc>
          <w:tcPr>
            <w:tcW w:w="400" w:type="dxa"/>
            <w:vAlign w:val="bottom"/>
          </w:tcPr>
          <w:p>
            <w:pPr>
              <w:spacing w:after="0"/>
              <w:rPr>
                <w:sz w:val="17"/>
                <w:szCs w:val="17"/>
                <w:color w:val="auto"/>
              </w:rPr>
            </w:pPr>
          </w:p>
        </w:tc>
        <w:tc>
          <w:tcPr>
            <w:tcW w:w="324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August 31,</w:t>
            </w:r>
          </w:p>
        </w:tc>
        <w:tc>
          <w:tcPr>
            <w:tcW w:w="4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9"/>
                <w:szCs w:val="19"/>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income tax (benefit) expense</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Deferred income tax (benefit) expense</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reconciliation of the income tax benefit from continuing operations computed using the U.S. statutory federal income tax rate compared to the income tax benefit for income from continuing operations included in the Consolidated Statements of Operations is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Eight Months Ended</w:t>
            </w:r>
          </w:p>
        </w:tc>
        <w:tc>
          <w:tcPr>
            <w:tcW w:w="400" w:type="dxa"/>
            <w:vAlign w:val="bottom"/>
          </w:tcPr>
          <w:p>
            <w:pPr>
              <w:spacing w:after="0"/>
              <w:rPr>
                <w:sz w:val="17"/>
                <w:szCs w:val="17"/>
                <w:color w:val="auto"/>
              </w:rPr>
            </w:pPr>
          </w:p>
        </w:tc>
        <w:tc>
          <w:tcPr>
            <w:tcW w:w="324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August 31,</w:t>
            </w:r>
          </w:p>
        </w:tc>
        <w:tc>
          <w:tcPr>
            <w:tcW w:w="4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9"/>
                <w:szCs w:val="19"/>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at U.S. statutory rate on loss before income taxes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taxes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Change in uncertain tax positions</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True-ups</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CARES Act refund</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tax assets and liabilities are determined based on the differences between financial reporting and income tax bases of assets and liabilities, as well as net operating loss carryforwards and are measured using the enacted tax rates and laws in effect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99" w:name="page100"/>
    <w:bookmarkEnd w:id="99"/>
    <w:p>
      <w:pPr>
        <w:ind w:right="740"/>
        <w:spacing w:after="0" w:line="277" w:lineRule="auto"/>
        <w:rPr>
          <w:sz w:val="20"/>
          <w:szCs w:val="20"/>
          <w:color w:val="auto"/>
        </w:rPr>
      </w:pPr>
      <w:r>
        <w:rPr>
          <w:rFonts w:ascii="Arial" w:cs="Arial" w:eastAsia="Arial" w:hAnsi="Arial"/>
          <w:sz w:val="18"/>
          <w:szCs w:val="18"/>
          <w:color w:val="auto"/>
        </w:rPr>
        <w:t>when the differences are expected to reverse. The significant components of the Company’s net deferred tax assets and liabilities from continuing operations are as follows: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91"/>
              </w:rPr>
              <w:t>December 31, 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December 31, 2019</w:t>
            </w:r>
          </w:p>
        </w:tc>
      </w:tr>
      <w:tr>
        <w:trPr>
          <w:trHeight w:val="209"/>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(Liquidation Basis)</w:t>
            </w:r>
          </w:p>
        </w:tc>
        <w:tc>
          <w:tcPr>
            <w:tcW w:w="180" w:type="dxa"/>
            <w:vAlign w:val="bottom"/>
          </w:tcPr>
          <w:p>
            <w:pPr>
              <w:spacing w:after="0"/>
              <w:rPr>
                <w:sz w:val="18"/>
                <w:szCs w:val="18"/>
                <w:color w:val="auto"/>
              </w:rPr>
            </w:pPr>
          </w:p>
        </w:tc>
        <w:tc>
          <w:tcPr>
            <w:tcW w:w="1840" w:type="dxa"/>
            <w:vAlign w:val="bottom"/>
          </w:tcPr>
          <w:p>
            <w:pPr>
              <w:jc w:val="right"/>
              <w:ind w:right="171"/>
              <w:spacing w:after="0"/>
              <w:rPr>
                <w:sz w:val="20"/>
                <w:szCs w:val="20"/>
                <w:color w:val="auto"/>
              </w:rPr>
            </w:pPr>
            <w:r>
              <w:rPr>
                <w:rFonts w:ascii="Arial" w:cs="Arial" w:eastAsia="Arial" w:hAnsi="Arial"/>
                <w:sz w:val="16"/>
                <w:szCs w:val="16"/>
                <w:color w:val="auto"/>
                <w:w w:val="96"/>
              </w:rPr>
              <w:t>(Going Concern Basis)</w:t>
            </w:r>
          </w:p>
        </w:tc>
      </w:tr>
      <w:tr>
        <w:trPr>
          <w:trHeight w:val="233"/>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30"/>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3,602</w:t>
            </w:r>
          </w:p>
        </w:tc>
      </w:tr>
      <w:tr>
        <w:trPr>
          <w:trHeight w:val="229"/>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other tax credits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29"/>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ASC 740-10 Reserve</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30"/>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r>
      <w:tr>
        <w:trPr>
          <w:trHeight w:val="229"/>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Accruals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29"/>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 modifications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r>
      <w:tr>
        <w:trPr>
          <w:trHeight w:val="230"/>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Capital loss carryforward</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29"/>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26,162</w:t>
            </w: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r>
      <w:tr>
        <w:trPr>
          <w:trHeight w:val="223"/>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18,697</w:t>
            </w:r>
          </w:p>
        </w:tc>
      </w:tr>
      <w:tr>
        <w:trPr>
          <w:trHeight w:val="20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Debt modifications</w:t>
            </w:r>
          </w:p>
        </w:tc>
        <w:tc>
          <w:tcPr>
            <w:tcW w:w="24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7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(19,649)</w:t>
            </w:r>
          </w:p>
        </w:tc>
      </w:tr>
      <w:tr>
        <w:trPr>
          <w:trHeight w:val="229"/>
        </w:trPr>
        <w:tc>
          <w:tcPr>
            <w:tcW w:w="70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23"/>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(20,268)</w:t>
            </w: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r>
      <w:tr>
        <w:trPr>
          <w:trHeight w:val="21"/>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CARES Act, among other provisions,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at the 35% corporate tax rate then in effect. The Company was a significant taxpayer in the earlier eligible carryback years and expects that the NOL carryback provision of the CARES Act will result in a material cash benefit as a result of the 2020 ordinary tax losses generated and, to a lesser degree, for the 2019 tax year. The expected cash benefit to be received for ordinary losses incurred in 2020 totals $91.8 million. The Company received a refund of $2.1 million associated with 2019 ordinary losses that were carried back to an eligible carryback year.</w:t>
      </w:r>
    </w:p>
    <w:p>
      <w:pPr>
        <w:spacing w:after="0" w:line="2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2020 and 2019, the Company had federal NOL carryforwards of $103.3 million and $108.6 million, respectively. As of December 31, 2020 and 2019, the Company also had state NOL carryforwards of $63.7 million and $63.9 million, respectively, excluding $215.5 million of California NOLs available to offset assessments, if any, resulting from the current audit by the California Franchise Tax Board (the “CA FTB”). The federal and state NOL carryforwards will begin expiring in the year 2023, if not utilized. As of December 31, 2020 and 2019, the Company had $2.2 million of federal tax credits that will begin expiring in the year 2025, if not utilized. As of December 31, 2020 and 2019, the Company had $19.3 million of state tax credit carryforwards that do not expire.</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Utilization of the federal and state NOL and tax credit carryforwards may be subject to a substantial annual limitation due to the “change in ownership” provisions of the Internal Revenue Code of 1986. The annual limitation may result in the expiration of NOLs and credits before utilization. Of the Company’s $103.3 million of federal NOL carryforwards as of December 31, 2020, $26.9 million are subject to an annual limitation of $1.8 million for each of the years ending December 31, 2021 to 2022, and $1.3 million for the year ending December 31, 2023. As of December 31, 2020, the Company estimates that at least $22.0 million of federal NOL carryforwards will expire unutilized and none of the state NOLs will expire unutilized. Tax attributes acquired from LENSAR may be subject to separate return limitations that may limit the corporation’s ability to use the acquired NOLs and credits. Furthermore, under the Tax Cuts and Job Act of 2017 (the ‘2017 Tax Act’), although the treatment of tax losses generated in taxable years ending before December 31, 2017 has not changed, tax losses generated in taxable years beginning after December 31, 2017 may only be utilized to offset 80% of taxable income annually. This change may require the Company to pay additional federal income taxes in future years if additional losses are generated post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100" w:name="page101"/>
    <w:bookmarkEnd w:id="100"/>
    <w:p>
      <w:pPr>
        <w:ind w:right="140"/>
        <w:spacing w:after="0" w:line="272" w:lineRule="auto"/>
        <w:rPr>
          <w:sz w:val="20"/>
          <w:szCs w:val="20"/>
          <w:color w:val="auto"/>
        </w:rPr>
      </w:pPr>
      <w:r>
        <w:rPr>
          <w:rFonts w:ascii="Arial" w:cs="Arial" w:eastAsia="Arial" w:hAnsi="Arial"/>
          <w:sz w:val="17"/>
          <w:szCs w:val="17"/>
          <w:color w:val="auto"/>
        </w:rPr>
        <w:t>As of December 31, 2020, the Company determined that it was more likely than not that certain deferred tax assets from continuing operations would not be realized in the near future and had a $21.1 million valuation allowance against deferred tax assets. The net change in total valuation allowance for each of the years ending December 31, 2020 and 2019, was an increase of $13.6 million and $5.8 million, respectively. $2.9 million of the valuation allowance at December 31, 2020, is related to capital losses that have limited carryforward utilization. The Company does not have an expectation of future capital gains against which such losses could be utilized and as such determined that it was more likely than not that such deferred tax assets would not be realized. $18.2 million of the valuation allowance at December 31, 2020 is related to federal and state deferred tax assets that the Company determined it was more likely than not would be realized.</w:t>
      </w:r>
    </w:p>
    <w:p>
      <w:pPr>
        <w:spacing w:after="0" w:line="20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2017 Tax Act significantly changed the existing U.S. corporate income tax laws by, among other things, lowering the corporate tax rate (from a top rate of 35% to a flat rate of 21%), implementing elements of a territorial tax system, and imposing a one-time deemed repatriation transition tax on cumulative undistributed foreign earnings, for which the Company had not previously paid U.S.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unrecognized tax benefits, excluding accrued interest and penalties, for 2020, 2019 and 2018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68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79,179</w:t>
            </w:r>
          </w:p>
        </w:tc>
      </w:tr>
      <w:tr>
        <w:trPr>
          <w:trHeight w:val="229"/>
        </w:trPr>
        <w:tc>
          <w:tcPr>
            <w:tcW w:w="6820" w:type="dxa"/>
            <w:vAlign w:val="bottom"/>
            <w:gridSpan w:val="2"/>
          </w:tcPr>
          <w:p>
            <w:pPr>
              <w:ind w:left="220"/>
              <w:spacing w:after="0"/>
              <w:rPr>
                <w:sz w:val="20"/>
                <w:szCs w:val="20"/>
                <w:color w:val="auto"/>
              </w:rPr>
            </w:pPr>
            <w:r>
              <w:rPr>
                <w:rFonts w:ascii="Arial" w:cs="Arial" w:eastAsia="Arial" w:hAnsi="Arial"/>
                <w:sz w:val="18"/>
                <w:szCs w:val="18"/>
                <w:color w:val="auto"/>
              </w:rPr>
              <w:t>Increases related to tax positions from prior fiscal years</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1,604</w:t>
            </w:r>
          </w:p>
        </w:tc>
      </w:tr>
      <w:tr>
        <w:trPr>
          <w:trHeight w:val="230"/>
        </w:trPr>
        <w:tc>
          <w:tcPr>
            <w:tcW w:w="6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Increases related to tax positions taken during current fiscal year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Decreases related to tax positions from prior fiscal years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the end of the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future impact of the unrecognized tax benefit of $85.8 million, if recognized, is as follows: $32.6 million would affect the effective tax rate and $53.2 million would result in adjustments to deferred tax assets and valuation allowances. The Company periodically evaluates its exposures associated with our tax filing positions. The Company is currently under audit by the CA FTB. The timing of the audit resolution and the amount to be ultimately paid (if any) is uncertain. The outcome of the audit could result in the payment of tax amounts that differ from the amounts the Company has reserved for uncertain tax positions for the periods under audit resulting in incremental expense or a reversal of the Company’s reserves in a future period. At this time, the Company does not anticipate a material change in the unrecognized tax benefits related to the California FTB audit that would affect the effective tax rate, deferred tax assets or valuation allowances over the next 12 months.</w:t>
      </w:r>
    </w:p>
    <w:p>
      <w:pPr>
        <w:spacing w:after="0" w:line="20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Estimated interest and penalties associated with unrecognized tax benefits increased our income tax expense in the Consolidated Statements of Operations by $1.0 million during the eight months ended August 31, 2020, $1.6 million during the year ended December 31, 2019 and $1.0 million during the year ended December 31, 2018. Interest and penalties associated with unrecognized tax benefits accrued on the statement of net assets and balance sheet were $11.2 million, $9.7 million, and $8.0 million as of December 31, 2020, 2019 and 2018, respectively.</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U.S. federal income tax returns are subject to examination for the tax years 2017 forward, In general, the Company’s state and local income tax returns are subject to examination by tax authorities for tax years 2000 forward. The Company is currently under income tax examination by the CA FTB for the tax years 2009 through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24. Net Loss per Share</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Basic and Diluted Share</w:t>
            </w:r>
          </w:p>
        </w:tc>
        <w:tc>
          <w:tcPr>
            <w:tcW w:w="1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Eight Months Ended</w:t>
            </w:r>
          </w:p>
        </w:tc>
        <w:tc>
          <w:tcPr>
            <w:tcW w:w="360" w:type="dxa"/>
            <w:vAlign w:val="bottom"/>
          </w:tcPr>
          <w:p>
            <w:pPr>
              <w:spacing w:after="0"/>
              <w:rPr>
                <w:sz w:val="24"/>
                <w:szCs w:val="24"/>
                <w:color w:val="auto"/>
              </w:rPr>
            </w:pPr>
          </w:p>
        </w:tc>
        <w:tc>
          <w:tcPr>
            <w:tcW w:w="2900" w:type="dxa"/>
            <w:vAlign w:val="bottom"/>
            <w:gridSpan w:val="4"/>
            <w:vMerge w:val="restart"/>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August 31,</w:t>
            </w:r>
          </w:p>
        </w:tc>
        <w:tc>
          <w:tcPr>
            <w:tcW w:w="360" w:type="dxa"/>
            <w:vAlign w:val="bottom"/>
          </w:tcPr>
          <w:p>
            <w:pPr>
              <w:spacing w:after="0"/>
              <w:rPr>
                <w:sz w:val="19"/>
                <w:szCs w:val="19"/>
                <w:color w:val="auto"/>
              </w:rPr>
            </w:pPr>
          </w:p>
        </w:tc>
        <w:tc>
          <w:tcPr>
            <w:tcW w:w="29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(43,040)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(57,094)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(32,765)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from discontinued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(36,094)</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6040" w:type="dxa"/>
            <w:vAlign w:val="bottom"/>
          </w:tcPr>
          <w:p>
            <w:pPr>
              <w:spacing w:after="0" w:line="156" w:lineRule="exact"/>
              <w:rPr>
                <w:sz w:val="20"/>
                <w:szCs w:val="20"/>
                <w:color w:val="auto"/>
              </w:rPr>
            </w:pPr>
            <w:r>
              <w:rPr>
                <w:rFonts w:ascii="Arial" w:cs="Arial" w:eastAsia="Arial" w:hAnsi="Arial"/>
                <w:sz w:val="18"/>
                <w:szCs w:val="18"/>
                <w:color w:val="auto"/>
                <w:w w:val="91"/>
              </w:rPr>
              <w:t>Loss attributable to the PDL’s stockholders used to compute net loss per basic and</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(77,296)</w:t>
            </w:r>
          </w:p>
        </w:tc>
        <w:tc>
          <w:tcPr>
            <w:tcW w:w="10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(70,411)</w:t>
            </w:r>
          </w:p>
        </w:tc>
        <w:tc>
          <w:tcPr>
            <w:tcW w:w="10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(68,859)</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diluted share</w:t>
            </w:r>
          </w:p>
        </w:tc>
        <w:tc>
          <w:tcPr>
            <w:tcW w:w="28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7"/>
              </w:rPr>
              <w:t>Total weighted-average shares used to compute net loss attributable to PDL's</w:t>
            </w:r>
          </w:p>
        </w:tc>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118,001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118,631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145,669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per basic share</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6040" w:type="dxa"/>
            <w:vAlign w:val="bottom"/>
          </w:tcPr>
          <w:p>
            <w:pPr>
              <w:ind w:left="460"/>
              <w:spacing w:after="0" w:line="156" w:lineRule="exact"/>
              <w:rPr>
                <w:sz w:val="20"/>
                <w:szCs w:val="20"/>
                <w:color w:val="auto"/>
              </w:rPr>
            </w:pPr>
            <w:r>
              <w:rPr>
                <w:rFonts w:ascii="Arial" w:cs="Arial" w:eastAsia="Arial" w:hAnsi="Arial"/>
                <w:sz w:val="18"/>
                <w:szCs w:val="18"/>
                <w:color w:val="auto"/>
                <w:w w:val="97"/>
              </w:rPr>
              <w:t>Shares used to compute net loss attributable to PDL’s stockholders, per</w:t>
            </w:r>
          </w:p>
        </w:tc>
        <w:tc>
          <w:tcPr>
            <w:tcW w:w="2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118,001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118,631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145,669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40" w:type="dxa"/>
            <w:vAlign w:val="bottom"/>
          </w:tcPr>
          <w:p>
            <w:pPr>
              <w:ind w:left="460"/>
              <w:spacing w:after="0" w:line="202" w:lineRule="exact"/>
              <w:rPr>
                <w:sz w:val="20"/>
                <w:szCs w:val="20"/>
                <w:color w:val="auto"/>
              </w:rPr>
            </w:pPr>
            <w:r>
              <w:rPr>
                <w:rFonts w:ascii="Arial" w:cs="Arial" w:eastAsia="Arial" w:hAnsi="Arial"/>
                <w:sz w:val="18"/>
                <w:szCs w:val="18"/>
                <w:color w:val="auto"/>
              </w:rPr>
              <w:t>diluted share</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Net loss per share - basic</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PDL’s stockholders per basic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 diluted</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 attributable to PDL’s stockholders per diluted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computes net loss per diluted share using the sum of the weighted-average number of common and common equivalent shares outstanding common equivalent shares used in the computation of net loss per diluted share include shares that may be issued pursuant to outstanding stock options and restricted stock awards in each case, on a weighted-average basis for the period they were outstanding, including, if applicable, the underlying shares using the treasury stock method.</w:t>
      </w:r>
    </w:p>
    <w:p>
      <w:pPr>
        <w:spacing w:after="0" w:line="21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February 2018 Notes that were repaid on February 1, 2018, the December 2021 Notes and the December 2024 Notes allow, or previously allowed, for the settlement entirely or partially in cash, and are accounted for under the treasury stock method. Under the treasury stock method, the shares issuable upon conversion of the notes are not included in the calculation of diluted earnings per share except to the extent that the conversion value of the notes exceeds their principal amount. The effect of which, for diluted earnings per share purposes, is that only the number of shares of common stock that would be necessary to settle such excess, if the Company elected to settle such excess in shares, are included in the computation.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2021 Notes and December 2024 Notes Capped Call Potential Dilution</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November 2016, the Company issued $150.0 million in aggregate principal of the December 2021 Notes. In September 2019, the Company entered into the September 2019 Exchange Transaction through which it exchanged a portion of the December 2021 Notes for the December 2024 Notes. Both the December 2021 Notes and the December 2024 Notes provide in certain situations for the conversion of the outstanding principal amount into shares of the Company’s common stock at a predefined conversion rate. In conjunction with the issuance of the December 2021 Notes and the issuance of the December 2024 Notes pursuant to the September 2019 Exchange Transaction, the Company entered into capped call transactions, with a hedge counterparty. The capped call transactions are expected generally to reduce the potential dilution, and/or offset, to an extent, the cash payments the Company may choose to make in excess of the principal amount, upon conversion of the December 2021 Notes or the December 2024 Notes. The Company has excluded the capped call transaction from the net loss per diluted share computation as such securities would have an anti-dilutive effect and those securities should be considered separately rather than in the aggregate in determining whether their effect on net loss per diluted share would be dilutive or anti-dilutive. For additional information regarding the conversion rates and the capped call transactions related to the Company’s December 2021 Notes and December 2024 Notes; see Note 14, </w:t>
      </w:r>
      <w:r>
        <w:rPr>
          <w:rFonts w:ascii="Arial" w:cs="Arial" w:eastAsia="Arial" w:hAnsi="Arial"/>
          <w:sz w:val="17"/>
          <w:szCs w:val="17"/>
          <w:i w:val="1"/>
          <w:iCs w:val="1"/>
          <w:color w:val="333333"/>
        </w:rPr>
        <w:t>Convertible Senior Notes</w:t>
      </w:r>
      <w:r>
        <w:rPr>
          <w:rFonts w:ascii="Arial" w:cs="Arial" w:eastAsia="Arial" w:hAnsi="Arial"/>
          <w:sz w:val="17"/>
          <w:szCs w:val="17"/>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Anti-Dilutive Effect of Restricted Stock Awards and Stock Options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eight months ended August 31, 2020, and years ended December 31, 2019 and 2018, the Company excluded approximately 0.2 million, 1.0 million, and 1.1 million shares, respectively, underlying restricted stock awards, calculated on a weighted-average basis, from the Company’s net loss per diluted share calculations because their effect was anti-dilutive.</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eight months ended August 31, 2020, and years ended December 31, 2019 and 2018, the Company excluded approximately 11.9 million, 11.2 million and 3.9 million shares underlying outstanding stock options, respectively, calculated on a weighted-average basis, from the Company’s net loss per diluted share calculations because their effect was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Wellstat Litigation</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September 4, 2015, the Company filed in the Supreme Court of New York a motion for summary judgment in lieu of complaint which requested that the court enter judgment against Wellstat Diagnostics Guarantors for the total amount due on the Wellstat Diagnostics debt, plus all costs and expenses including lawyers’ fees incurred by the Company in enforcement of the related guarantees. On July 29, 2016, the court issued its Memorandum of Decision granting the Company’s motion for summary judgment and denying the Wellstat Diagnostics Guarantors’ cross-motion for summary judgment seeking a determination that they were no longer liable under the guarantees. The Supreme Court of New York held that the Wellstat Diagnostics Guarantors are liable for all “Obligations” owed by Wellstat Diagnostics to the Company. It did not set a specific dollar amount due, but ordered that a judicial hearing officer or special referee be designated to determine the amount of the Obligations owing, and awarded the Company its attorneys’ fees and costs in an amount to be determined. On July 29, 2016, the Wellstat Diagnostics Guarantors filed a notice of appeal from the Memorandum of Decision to the Appellate Division of the Supreme Court of New York. On February 14, 2017, the Appellate Division reversed the summary judgment decision of the Supreme Court in the Company’s favor, but affirmed the denial of the Wellstat Diagnostics Guarantors’ cross-motion for summary judgment. The Appellate Division determined that the action was inappropriate for summary judgment pursuant to New York Civil Practice Law &amp; Rules section 3213 on procedural grounds, but specifically made no determination regarding whether the Company was entitled to a judgment on the merits. Pursuant to this decision, the action was remanded to the Supreme Court for further proceedings on the merits. The proceeding has been conducted as a plenary proceeding, with both parties having the opportunity to take discovery and file dispositive motions in accordance with New York civil procedure. On September 11, 2019, the Supreme Court of New York granted the Company’s summary judgment motion, the court holding that the guarantees executed by the Wellstat Diagnostics Guarantors are valid and enforceable, and that the Wellstat Diagnostics Guarantors are liable for the amount owed under the loan agreement. The court ordered a damages hearing before a special referee to calculate the amount owed under the loan agreement between Wellstat Diagnostics and the Company. On September 12, 2019, the Wellstat Diagnostics Guarantors filed a notice of appeal of the Supreme Court of New York’s decision on summary judgment. On September 17, 2019, the Wellstat Diagnostics Guarantors requested a stay of the enforcement of the New York Supreme Court’s decision pending their appeal of the decision, which was denied on November 21, 2019. A damages hearing was scheduled to begin before a judicial hearing officer on December 17, 2019. At the request of the judicial hearing officer, the parties agreed to mediate their dispute prior to the commencement of the damages hearing. As a result, no decision was made by the hearing officer with respect to the amount of damages owed to the Company.</w:t>
      </w:r>
    </w:p>
    <w:p>
      <w:pPr>
        <w:spacing w:after="0" w:line="2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August 11, 2020, PDL entered into a Settlement and Mutual Release Agreement with all parties including Samuel J. Wohlstadter, Nadine H. Wohlstadter, Hyperion Catalysis International, Wellstat Vaccines, LLC, Wellstat ImmunoTherapeutics, LLC, Wellstat BioCatalysis, LLC, Wellstat AVT Investment, LLC, Wellstat Biologics Corporation, Wellstat Management Company, LLC, Wellstat Ophthalmics Corporation, Wellstat Therapeutics Corporation, Wellstat Therapeutics EU Limited, Duck Farm, Inc., Hebron Valley Farms, Inc., HVF, Inc., Hyperion Catalysis EU Limited, NHW, LLC, and SJW Properties, Inc., together with their respective successors and assigns, (collectively the “Wellstat Parties”), and Defined Diagnostics, LLC (f/k/a Wellstat Diagnostics, LLC) (“Diagnostics”), resolving all litigation between the Company and the Wellstat Parties (the “Settlement Agreement”).</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the Settlement Agreement, the parties agreed that the Wellstat Parties would pay an amount of $7.5 million on the signing of the Settlement Agreement and either (1) $5.0 million by February 10, 2021 and $55.0 million by July 26, 2021; or (2) $67.5 million by July 26, 2021. Further under the terms of the Settlement Agreement, upon payment of either $5.0 million prior to April 21, 2021 or completion of the payment of $67.5 million by July 26, 2021, the Company will transfer to Diagnostics on an “as is” and “where is” basis certain assets currently owned by the Company which were acquired through the Company’s credit bid in 2017 for the assets of Diagnostics. If the Wellstat Parties or Diagnostics fail to make payment in full by July 26, 2021</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as required under the terms of the Settlement Agreement, the Company is authorized to record judgment against the Wellstat Parties for an amount of</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$92.5 million or such lesser amount as may be owed under the Settlement Agreement as of that date. The foregoing description is qualified in its entirety by reference to the full text of the Settlement Agreement, a copy of which is expected to be filed with the Securities and Exchange Commission. On December 11, 2020, the Company sold its rights to the settlement agreement to a third-party. For additional information on the sale, see Note 9, </w:t>
      </w:r>
      <w:r>
        <w:rPr>
          <w:rFonts w:ascii="Arial" w:cs="Arial" w:eastAsia="Arial" w:hAnsi="Arial"/>
          <w:sz w:val="18"/>
          <w:szCs w:val="18"/>
          <w:i w:val="1"/>
          <w:iCs w:val="1"/>
          <w:color w:val="auto"/>
        </w:rPr>
        <w:t>Notes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Long-Term Receivables.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Glumetza Class Action Antitrust Litigation</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September 18, 2019, the City of Providence filed a civil antitrust suit on behalf of a putative class of payors in the Northern District of California against Bausch Health Companies, Inc., Salix Pharmaceuticals, Inc., Santarus, Inc., Assertio Therapeutics, Inc., Lupin Pharmaceuticals, Inc. and the Company, inter alia, alleging that a patent settlement agreement between Assertio and Lupin unlawfully restrained competition in an alleged market for Glumetza and its AB-rated generic equivalents sold in the United States. The plaintiffs claim that the settlement agreement violated the federal Sherman Act and various state antitrust laws. The Company was a named defendant by certain End Payor Plaintiffs (EPPs) due to its purchase from Assertio in 2013 of a royalty asset based on sales of Glumetza. On January 21, 2020, the EPPs voluntarily dismissed their claims against the Company, without prejudice. The Company agreed to toll the running of statute of limitations for a limited period of time and to respond to certain discovery requests, subject to reasonable objections, which time period has elapsed.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Noden Pharma DAC v Anchen Pharmaceuticals, Inc. et al</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On June 12, 2017, Noden Pharma DAC filed a complaint against Anchen and Par Pharmaceutical (“Par”) for infringement of U.S. Patent No. 8,617,595 based on their submission of an ANDA seeking authorization from the FDA to market a generic version of Tekturna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aliskiren hemifumarate tablets, 150 mg and 300 mg, in the United States. Noden Pharma DAC’s suit triggered a 30-month stay of FDA approval of that application under the Hatch Waxman Act. Par filed a counterclaim seeking a declaratory judgment that their proposed generic version of Tekturna HCT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aliskiren hemifumarate hydrochlorothiazide tablets (150 mg eq. base/12.5 mg HCT, 150 mg eq. base/25 mg HCT, 300 mg eq. base/12.5 mg HCT, and 300 mg eq. base/25 mg HCT), described in a separate ANDA submitted by Par to FDA, alleging noninfringement of U.S. Patent No. 8,618,172 (“the ‘172 Patent”), also owned by Noden Pharma DAC. This case was litigated in the United States District Court for the District of Delaware. In March of 2018, the Parties filed a joint stipulation of dismissal of the defendants’ counterclaim seeking a declaratory judgment of non-infringement of the ‘172 Patent. In the stipulation, Anchen and Par agreed that they will not seek, or otherwise join or assist in, any post-grant review,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of the ‘172 patent or U.S. Patent No. 9,023,893. The defendants further stipulated that they will not seek marketing approval of Par’s ANDA or submit any other ANDA seeking approval to market aliskiren hemifumarate hydrochlorothiazide prior to the expiration of the ‘172 Patent in July of 2028. Both the ‘172 Patent and the ‘893 Patent are listed in the Orange Book for Tekturna HCT. On June 8, 2018, Noden and Anchen entered into the Settlement Agreement. Under the Settlement Agreement, the parties agreed to file a stipulation of dismissal with the court to facilitate dismissal of the litigation in its entirety, with prejudice. In the Settlement Agreement, Noden granted Anchen a non-exclusive, royalty free, fully paid up and non-transferable license to manufacture and commercialize in the United States a generic version of aliskiren which is described in Anchen’s ANDA, and Anchen agreed not to commercialize its generic version of aliskiren prior to March 1, 2019. The license grant excludes certain formulations covered by the ‘595 Patent which closely relate to the commercial formulation of Tekturna marketed by Noden. The Settlement Agreement includes a release by each party for liabilities associated with the litigation and an acknowledgment from Anchen that the ‘595 Patent claims are valid and enforceable.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25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From time to time, the Company is involved in lawsuits, arbitrations, claims, investigations and proceedings, consisting of intellectual property, commercial, employment and other matters, which arise in the ordinary course of business. The Company makes provisions for liabilities when it is both probable that a liability has been incurred and the amount of the loss can be reasonably estimated. Such provisions are reviewed at least quarterly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the Company’s operations of that period and on its cash flows and liquidity.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26.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w:t>
      </w:r>
    </w:p>
    <w:p>
      <w:pPr>
        <w:spacing w:after="0" w:line="252"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color w:val="auto"/>
        </w:rPr>
        <w:t>In January 2021, the Company filed a certificate of dissolution in Delaware and will proceed to wind-down and dissolve the Company in accordance with Delaware General Corporate Law. Also in January 2021, the Company’s common stock was formally delisted by Nasdaq.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Fundamental Change Repurchase Right resulting from the suspension of trading of the Company’s common stock on Nasdaq prior to the opening of business on December 31, 2020, holders of 142 December 2021 Notes tendered their notes for repurchase, which occurred on February 17, 2021.</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connection with the Fundamental Make-Whole Change resulting from the suspension of trading of the Company’s common stock on Nasdaq prior to the opening of business on December 31, 2020, holders of 50 December 2021 Notes exercised their conversion rights. Such notes will be retired for cash.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CareView</w:t>
      </w:r>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first principal payment and the scheduled interest payment due December 31, 2018 that were previously deferred until January 31, 2021 were subsequently deferred until May 31, 2021 under additional amendments.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Quarterly Financial Data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Two Months Ended</w:t>
            </w:r>
          </w:p>
        </w:tc>
        <w:tc>
          <w:tcPr>
            <w:tcW w:w="420" w:type="dxa"/>
            <w:vAlign w:val="bottom"/>
          </w:tcPr>
          <w:p>
            <w:pPr>
              <w:spacing w:after="0"/>
              <w:rPr>
                <w:sz w:val="20"/>
                <w:szCs w:val="20"/>
                <w:color w:val="auto"/>
              </w:rPr>
            </w:pPr>
          </w:p>
        </w:tc>
        <w:tc>
          <w:tcPr>
            <w:tcW w:w="3740" w:type="dxa"/>
            <w:vAlign w:val="bottom"/>
            <w:gridSpan w:val="3"/>
          </w:tcPr>
          <w:p>
            <w:pPr>
              <w:jc w:val="right"/>
              <w:ind w:right="1170"/>
              <w:spacing w:after="0"/>
              <w:rPr>
                <w:sz w:val="20"/>
                <w:szCs w:val="20"/>
                <w:color w:val="auto"/>
              </w:rPr>
            </w:pPr>
            <w:r>
              <w:rPr>
                <w:rFonts w:ascii="Arial" w:cs="Arial" w:eastAsia="Arial" w:hAnsi="Arial"/>
                <w:sz w:val="18"/>
                <w:szCs w:val="18"/>
                <w:b w:val="1"/>
                <w:bCs w:val="1"/>
                <w:color w:val="auto"/>
              </w:rPr>
              <w:t>Three Months Ended</w:t>
            </w:r>
          </w:p>
        </w:tc>
      </w:tr>
      <w:tr>
        <w:trPr>
          <w:trHeight w:val="169"/>
        </w:trPr>
        <w:tc>
          <w:tcPr>
            <w:tcW w:w="48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89"/>
              </w:rPr>
              <w:t>August 31,</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630"/>
              <w:spacing w:after="0" w:line="169" w:lineRule="exact"/>
              <w:rPr>
                <w:sz w:val="20"/>
                <w:szCs w:val="20"/>
                <w:color w:val="auto"/>
              </w:rPr>
            </w:pPr>
            <w:r>
              <w:rPr>
                <w:rFonts w:ascii="Arial" w:cs="Arial" w:eastAsia="Arial" w:hAnsi="Arial"/>
                <w:sz w:val="18"/>
                <w:szCs w:val="18"/>
                <w:b w:val="1"/>
                <w:bCs w:val="1"/>
                <w:color w:val="auto"/>
              </w:rPr>
              <w:t>June 30,</w:t>
            </w:r>
          </w:p>
        </w:tc>
        <w:tc>
          <w:tcPr>
            <w:tcW w:w="6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510"/>
              <w:spacing w:after="0" w:line="169" w:lineRule="exact"/>
              <w:rPr>
                <w:sz w:val="20"/>
                <w:szCs w:val="20"/>
                <w:color w:val="auto"/>
              </w:rPr>
            </w:pPr>
            <w:r>
              <w:rPr>
                <w:rFonts w:ascii="Arial" w:cs="Arial" w:eastAsia="Arial" w:hAnsi="Arial"/>
                <w:sz w:val="18"/>
                <w:szCs w:val="18"/>
                <w:b w:val="1"/>
                <w:bCs w:val="1"/>
                <w:color w:val="auto"/>
              </w:rPr>
              <w:t>March 31,</w:t>
            </w: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00" w:type="dxa"/>
            <w:vAlign w:val="bottom"/>
          </w:tcPr>
          <w:p>
            <w:pPr>
              <w:spacing w:after="0"/>
              <w:rPr>
                <w:sz w:val="19"/>
                <w:szCs w:val="19"/>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9"/>
                <w:szCs w:val="19"/>
                <w:color w:val="auto"/>
              </w:rPr>
            </w:pPr>
          </w:p>
        </w:tc>
        <w:tc>
          <w:tcPr>
            <w:tcW w:w="1460" w:type="dxa"/>
            <w:vAlign w:val="bottom"/>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23"/>
        </w:trPr>
        <w:tc>
          <w:tcPr>
            <w:tcW w:w="4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(Under Going Concern Basis of Accounting)</w:t>
            </w:r>
          </w:p>
        </w:tc>
        <w:tc>
          <w:tcPr>
            <w:tcW w:w="1460" w:type="dxa"/>
            <w:vAlign w:val="bottom"/>
            <w:tcBorders>
              <w:top w:val="single" w:sz="8" w:color="auto"/>
            </w:tcBorders>
          </w:tcPr>
          <w:p>
            <w:pPr>
              <w:spacing w:after="0"/>
              <w:rPr>
                <w:sz w:val="19"/>
                <w:szCs w:val="19"/>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5,211</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Net loss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(10,852)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(12,929)</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(19,259)</w:t>
            </w: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from discontinued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(37,399)</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PDL’s stockholders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(49,971)</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(31,723)</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 per basic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w w:val="97"/>
              </w:rPr>
              <w:t>Net income (loss) from discontinued operations per basic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(0.32)</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 per diluted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w w:val="95"/>
              </w:rPr>
              <w:t>Net income (loss) from discontinued operations per diluted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(0.32)</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per basic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Net income (loss) per diluted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(0.43)</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69"/>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320" w:type="dxa"/>
            <w:vAlign w:val="bottom"/>
          </w:tcPr>
          <w:p>
            <w:pPr>
              <w:spacing w:after="0"/>
              <w:rPr>
                <w:sz w:val="14"/>
                <w:szCs w:val="14"/>
                <w:color w:val="auto"/>
              </w:rPr>
            </w:pPr>
          </w:p>
        </w:tc>
        <w:tc>
          <w:tcPr>
            <w:tcW w:w="1340" w:type="dxa"/>
            <w:vAlign w:val="bottom"/>
          </w:tcPr>
          <w:p>
            <w:pPr>
              <w:jc w:val="right"/>
              <w:ind w:right="430"/>
              <w:spacing w:after="0" w:line="169" w:lineRule="exact"/>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180" w:type="dxa"/>
            <w:vAlign w:val="bottom"/>
          </w:tcPr>
          <w:p>
            <w:pPr>
              <w:spacing w:after="0"/>
              <w:rPr>
                <w:sz w:val="19"/>
                <w:szCs w:val="19"/>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23"/>
        </w:trPr>
        <w:tc>
          <w:tcPr>
            <w:tcW w:w="4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2"/>
              </w:rPr>
              <w:t>(Under Going Concern Basis of Accounting)</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8,031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7,458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(28,817)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(11,811)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(8,450)</w:t>
            </w: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from discontinued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(loss) income attributable to PDL’s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(54,888)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(17,784)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6,680</w:t>
            </w: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 per basic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w w:val="95"/>
              </w:rPr>
              <w:t>Net (loss) income from discontinued operations per basic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 per diluted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w w:val="93"/>
              </w:rPr>
              <w:t>Net (loss) income from discontinued operations per diluted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per basic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(loss) income per diluted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0.05</w:t>
            </w:r>
          </w:p>
        </w:tc>
      </w:tr>
    </w:tbl>
    <w:p>
      <w:pPr>
        <w:spacing w:after="0" w:line="1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fourth quarter of 2020, the Company determined that a $3.0 million tax benefit from discontinued operations was omitted from the consolidated statement of operations for the two-month period ending August 31, 2020. This error resulted from an incorrect tax calculation related to the sale of the Noden business. To correct for this error, the Company recorded an out-of-period adjustment to increase Income tax receivable and record a tax benefit of $3.0 million as of and for the three months ended December 31, 2020. The Company determined that the error and out-of-period correction were not material to any of the Company’s interim period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106" w:name="page107"/>
    <w:bookmarkEnd w:id="106"/>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management has evaluated, with the participation of the chief executive officer and the chief financial officer, the effectiveness of the Company’s disclosure controls and procedures (as defined in Rule 13a-15(e) and 15d-15(e) under the Securities Exchange Act of 1934 (Exchange Act)) as of the end of the period covered by this report. Based on this evaluation, management concluded that the Company’s disclosure controls and procedures were effective as of December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defined in the Exchange Act Rules 13a-15(f) and 15d-15(f). The Company’s management, including the chief executive officer and chief financial officer, conducted an evaluation of the effectiveness of the Company’s internal control over financial reporting based on the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Based on the results of this evaluation, the Company’s management concluded that internal control over financial reporting was effective as of December 31, 2020.</w:t>
      </w:r>
    </w:p>
    <w:p>
      <w:pPr>
        <w:spacing w:after="0" w:line="203" w:lineRule="exact"/>
        <w:rPr>
          <w:sz w:val="20"/>
          <w:szCs w:val="20"/>
          <w:color w:val="auto"/>
        </w:rPr>
      </w:pPr>
    </w:p>
    <w:p>
      <w:pPr>
        <w:spacing w:after="0" w:line="248" w:lineRule="auto"/>
        <w:rPr>
          <w:sz w:val="20"/>
          <w:szCs w:val="20"/>
          <w:color w:val="auto"/>
        </w:rPr>
      </w:pPr>
      <w:r>
        <w:rPr>
          <w:rFonts w:ascii="Arial" w:cs="Arial" w:eastAsia="Arial" w:hAnsi="Arial"/>
          <w:sz w:val="18"/>
          <w:szCs w:val="18"/>
          <w:color w:val="212936"/>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the rules of the Securities and Exchange Commission that permit the Company to provide only management’s report in this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quarter ended December 31, 2020, there were no changes in the Company’s internal control over financial reporting that have materially affected, or are reasonably likely to materially affect, the Company’s internal control over financial reporting.</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Certain information with respect to the current directors on the Board of Directors (“Board”) of the Company is set forth below. There are no family relationships among any of our directors or executive officers.</w:t>
      </w:r>
    </w:p>
    <w:p>
      <w:pPr>
        <w:spacing w:after="0" w:line="19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previously disclosed, on August 19, 2020, at the 2020 Annual Meeting of Stockholders, the stockholders of the Company, upon the recommendation of the Board, approved amendments to the Company’s Restated Certificate of Incorporation (the “Certificate”) in order to phase out the classification of the Board and to provide for the annual election of all directors, as described below. The amendments to the Certificate (the “Declassification Amendment”) became effective upon filing with the Office of the Secretary of State of the State of Delaware (the “Delaware Secretary of State”) on August 26, 2020. Specifically, the Declassification Amendment provides for the annual election of directors beginning at the 2021 annual meeting of stockholders, and that the declassification of the Board will be phased in over a period of three years. Beginning with the 2023 annual meeting of stockholders, the declassification of the Board will be complete and all directors will be subject to annual election for one year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Continuing in Office until the 2021 Annual Meeting of Stockholders</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John P. McLaughlin</w:t>
      </w:r>
      <w:r>
        <w:rPr>
          <w:rFonts w:ascii="Arial" w:cs="Arial" w:eastAsia="Arial" w:hAnsi="Arial"/>
          <w:sz w:val="17"/>
          <w:szCs w:val="17"/>
          <w:color w:val="auto"/>
        </w:rPr>
        <w:t>, age 69, was first appointed a director of the Company in October 2008. Mr. McLaughlin was our Chief Executive Officer from</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2008 until his retirement in December 2018. From November 2008 to December 2008 he served as a Senior Advisor to the Company. He was the Chief Executive Officer and a director of Anesiva, Inc., formerly known as Corgentech, Inc., a publicly-traded biopharmaceutical company, from January 2000 to June 2008. From December 1997 to September 1999, Mr. McLaughlin was President of Tularik Inc., a biopharmaceutical company. From September 1987 to December 1997, Mr. McLaughlin held a number of senior management positions at Genentech, Inc., a biopharmaceutical company, including Executive Vice President and General Counsel. From January 1985 to September 1987, Mr. McLaughlin was a partner at a Washington, D.C. law firm specializing in food and drug law. Prior to that, Mr. McLaughlin served as counsel to various subcommittees of the United States House of Representatives, where he drafted numerous measures that became Food and Drug Administration laws. Mr. McLaughlin co-founded and served as Chairman of the Board of Eyetech Pharmaceuticals, Inc., a publicly-traded biopharmaceutical company subsequently bought by OSI Pharmaceuticals, Inc., co-founded and served as a director of Peak Surgical, Inc., a private medical device company, until it was acquired by Medtronic in 2011, served as a director of AxoGen, Inc., a publicly-traded biopharmaceutical company until 2014, served as a director of Adverum Biotechnologies, Inc., a publicly-traded biopharmaceutical company, until 2016 and served as a director of Seattle Genetics, Inc. (now Seagen Inc.), a publicly-traded biopharmaceutical company, until 2016. Currently, he serves on the board of directors of Rockwell Medical Inc. and LENSAR, Inc. He received a B.A. from the University of Notre Dame and a J.D. from Catholic University of America.</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Mr. McLaughlin possesses a strong understanding of the biotechnology industry and has experience in development and commercialization of antibodies, corporate licensing and patent litigation that the Company values.</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Dominique Monnet, </w:t>
      </w:r>
      <w:r>
        <w:rPr>
          <w:rFonts w:ascii="Arial" w:cs="Arial" w:eastAsia="Arial" w:hAnsi="Arial"/>
          <w:sz w:val="16"/>
          <w:szCs w:val="16"/>
          <w:color w:val="auto"/>
        </w:rPr>
        <w:t>age 62, was first appointed as a director of the Company in December 2018. Mr. Monnet joined the Company in September 2017 as</w:t>
      </w:r>
      <w:r>
        <w:rPr>
          <w:rFonts w:ascii="Arial" w:cs="Arial" w:eastAsia="Arial" w:hAnsi="Arial"/>
          <w:sz w:val="16"/>
          <w:szCs w:val="16"/>
          <w:i w:val="1"/>
          <w:iCs w:val="1"/>
          <w:color w:val="auto"/>
        </w:rPr>
        <w:t xml:space="preserve"> </w:t>
      </w:r>
      <w:r>
        <w:rPr>
          <w:rFonts w:ascii="Arial" w:cs="Arial" w:eastAsia="Arial" w:hAnsi="Arial"/>
          <w:sz w:val="16"/>
          <w:szCs w:val="16"/>
          <w:color w:val="auto"/>
        </w:rPr>
        <w:t>our President and was promoted to President and Chief Executive Officer effective December 31, 2018. Before joining the Company, Mr. Monnet served as senior vice president and chief marketing officer of Alexion Pharmaceuticals from May 2014 to October 2015 where he was responsible for commercial operations in the United States and Latin America and oversaw new products and global business operations functions. From August 2013 to May 2014 he was a managing director at Biotech Advisors International, LLC, a biotechnology consulting firm. Prior to that, from July 2002 through July 2013, he was a senior executive at Amgen Inc. (“Amgen”) where he served in a number of key commercial leadership positions in the United States and internationally. Most recently he acted as vice president and general manager for Amgen’s Inflammation Business Unit from August 2011 until July 2013, where he was responsible for accelerating the growth of the Enbrel® franchise in the highly competitive U.S. market. Prior to this, he served as vice president and head of Amgen’s Global Marketing and Commercial Development, where he led the marketing strategies and global launches of new products across a range of therapeutic areas. From July 2002 through 2006, Mr. Monnet was based in Zug, Switzerland, where he served as Amgen’s vice president of International Marketing and Business Operations, building Amgen’s international commercial capability and leading the creation of its successful international franchises in oncology and nephrology. Before joining Amgen, Mr. Monnet held positions of increasing responsibility in line commercial management and global marketing over 19 years at Schering-Plough - including General Manager of its affiliate in the UK and Republic of Ireland - Ciba-Geigy and Alza Corporation. Mr. Monnet holds a business degree from EDHEC Business School in Lille, France, and an M.B.A. from INSEAD in Fontainebleau, France.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8" w:name="page109"/>
    <w:bookmarkEnd w:id="108"/>
    <w:p>
      <w:pPr>
        <w:ind w:right="500"/>
        <w:spacing w:after="0" w:line="308" w:lineRule="auto"/>
        <w:rPr>
          <w:sz w:val="20"/>
          <w:szCs w:val="20"/>
          <w:color w:val="auto"/>
        </w:rPr>
      </w:pPr>
      <w:r>
        <w:rPr>
          <w:rFonts w:ascii="Arial" w:cs="Arial" w:eastAsia="Arial" w:hAnsi="Arial"/>
          <w:sz w:val="17"/>
          <w:szCs w:val="17"/>
          <w:color w:val="auto"/>
        </w:rPr>
        <w:t>Mr. Monnet brings the Board a strong understanding of the pharmaceutical and biotechnology industries and experience in the commercialization of pharmaceutical products. In addition, Mr. Monnet provides strategic guidance to our management team and the Board.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Continuing in Office until the 2022 Annual Meeting</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Alan Bazaar</w:t>
      </w:r>
      <w:r>
        <w:rPr>
          <w:rFonts w:ascii="Arial" w:cs="Arial" w:eastAsia="Arial" w:hAnsi="Arial"/>
          <w:sz w:val="17"/>
          <w:szCs w:val="17"/>
          <w:color w:val="auto"/>
        </w:rPr>
        <w:t>, age 51, was appointed as a director of the Company in February 2020. Mr. Bazaar is currently the Chief Executive Officer of Hollow Brook</w:t>
      </w:r>
      <w:r>
        <w:rPr>
          <w:rFonts w:ascii="Arial" w:cs="Arial" w:eastAsia="Arial" w:hAnsi="Arial"/>
          <w:sz w:val="17"/>
          <w:szCs w:val="17"/>
          <w:i w:val="1"/>
          <w:iCs w:val="1"/>
          <w:color w:val="auto"/>
        </w:rPr>
        <w:t xml:space="preserve"> </w:t>
      </w:r>
      <w:r>
        <w:rPr>
          <w:rFonts w:ascii="Arial" w:cs="Arial" w:eastAsia="Arial" w:hAnsi="Arial"/>
          <w:sz w:val="17"/>
          <w:szCs w:val="17"/>
          <w:color w:val="auto"/>
        </w:rPr>
        <w:t>Wealth Management LLC, a position he has held since November 2013, where he is responsible for firm-wide operations, investment research, and portfolio management. Mr. Bazaar served as a director of Hudson Global Inc. from June 2015 to May 2019 and a director of Sparton Corp. from May 2016 until the completion of its sale in March 2019. Mr. Bazaar served as a director of LoJack Corporation from March 2015 until the completion of its sale in March 2016. Mr. Bazaar was formerly a director of NTS, and served from December 2012 until the completion of its sale in June 2014. From 2004 until April 2008, Mr. Bazaar served as a director of Media Sciences International, Inc., which manufactured and distributed business color printer supplies and industrial ink applications in the United States. From July 1999 until December 2009, Mr. Bazaar was a Managing Director and Portfolio Manager at Richard L. Scott Investments, LLC where he co-managed the public equity portfolio and was responsible for all elements of due diligence. Previously, Mr. Bazaar served as a director of Airco Industries, Inc., a privately held manufacturer of aerospace products, and was employed by Arthur Andersen LLP in the Assurance and Financial Buyer’s Practices group and in the Business Fraud and Investigation Services Unit. Mr. Bazaar received an undergraduate degree in History from Bucknell University and a Master of Business Administration from the Stern School of Business at New York University. He is a Certified Public Accountant (inactive).</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Mr. Bazaar brings significant financial, operational and transactional experience to the Board from his roles as both a chief executive officer and a director on the boards of several public companies.</w:t>
      </w:r>
    </w:p>
    <w:p>
      <w:pPr>
        <w:spacing w:after="0" w:line="19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Natasha A. Hernday</w:t>
      </w:r>
      <w:r>
        <w:rPr>
          <w:rFonts w:ascii="Arial" w:cs="Arial" w:eastAsia="Arial" w:hAnsi="Arial"/>
          <w:sz w:val="18"/>
          <w:szCs w:val="18"/>
          <w:color w:val="auto"/>
        </w:rPr>
        <w:t>, age 48, was first elected as a director of the Company in June 2019. Ms. Hernday has served as a member of the leadership team of</w:t>
      </w:r>
      <w:r>
        <w:rPr>
          <w:rFonts w:ascii="Arial" w:cs="Arial" w:eastAsia="Arial" w:hAnsi="Arial"/>
          <w:sz w:val="18"/>
          <w:szCs w:val="18"/>
          <w:i w:val="1"/>
          <w:iCs w:val="1"/>
          <w:color w:val="auto"/>
        </w:rPr>
        <w:t xml:space="preserve"> </w:t>
      </w:r>
      <w:r>
        <w:rPr>
          <w:rFonts w:ascii="Arial" w:cs="Arial" w:eastAsia="Arial" w:hAnsi="Arial"/>
          <w:sz w:val="18"/>
          <w:szCs w:val="18"/>
          <w:color w:val="auto"/>
        </w:rPr>
        <w:t>Seagen Inc. (“Seagen”), a publicly-traded biotechnology company, since January 2011. She is currently its Executive Vice President, Corporate Development. At Seagen, Ms. Hernday built and led the business development team responsible for sourcing, evaluating and negotiating licensing deals, acquisitions and partnerships. From July 1994 until January 2011, Ms. Hernday served in various roles of increasing responsibility at Amgen, including Director, Mergers &amp; Acquisitions and Director, Out-Partnering. Currently, she serves on the board of directors of Xoma Corporation and Alpine Immune Sciences, Inc. Ms. Hernday received her B.A. in microbiology from the University of California at Santa Barbara and her M.B.A. from Pepperdine University.</w:t>
      </w:r>
    </w:p>
    <w:p>
      <w:pPr>
        <w:spacing w:after="0" w:line="22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Ms. Hernday provides approximately 25 years of biotechnology experience to the Board with particular expertise in corporate development and corporate strategy. Her experience and perspective are extremely valuable to the Board and the Company’s leadership team.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Continuing in Office until the 2023 Annual Meeting</w:t>
      </w:r>
    </w:p>
    <w:p>
      <w:pPr>
        <w:spacing w:after="0" w:line="25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Elizabeth G. O’Farrell</w:t>
      </w:r>
      <w:r>
        <w:rPr>
          <w:rFonts w:ascii="Arial" w:cs="Arial" w:eastAsia="Arial" w:hAnsi="Arial"/>
          <w:sz w:val="16"/>
          <w:szCs w:val="16"/>
          <w:color w:val="auto"/>
        </w:rPr>
        <w:t>, age 57, was first appointed as a director of the Company in June 2018, and currently serves as the Chairperson of the Board. Ms.</w:t>
      </w:r>
      <w:r>
        <w:rPr>
          <w:rFonts w:ascii="Arial" w:cs="Arial" w:eastAsia="Arial" w:hAnsi="Arial"/>
          <w:sz w:val="16"/>
          <w:szCs w:val="16"/>
          <w:i w:val="1"/>
          <w:iCs w:val="1"/>
          <w:color w:val="auto"/>
        </w:rPr>
        <w:t xml:space="preserve"> </w:t>
      </w:r>
      <w:r>
        <w:rPr>
          <w:rFonts w:ascii="Arial" w:cs="Arial" w:eastAsia="Arial" w:hAnsi="Arial"/>
          <w:sz w:val="16"/>
          <w:szCs w:val="16"/>
          <w:color w:val="auto"/>
        </w:rPr>
        <w:t>O’Farrell previously served 24 years with Eli Lilly and Company (“Eli Lilly”), most recently as Chief Procurement Officer from 2012 to 2017, until her retirement. At Eli Lilly, she advanced through various executive management positions, including Senior Vice President, Policy and Finance; Senior Vice President, Finance; Chief Financial Officer, Lilly USA; Chief Financial Officer, Lilly Canada; and General Auditor. Before joining Eli Lilly, Ms. O’Farrell was an accountant with Boise Cascade Office Products and auditor at Whipple &amp; Company and Price Waterhouse. Currently, she serves on the board of directors of Geron Corporation, Inhibikase Therapeutics, Inc. and LENSAR, Inc. Ms. O’Farrell served as a board member of the YMCA of Greater Indianapolis from 2006 until 2017, including as its chairperson from 2014 to 2016. She is a member of the Finance Committee of the United Way of Brevard, in Brevard County, FL., and previously served on the Boards of the Washington Township Schools Foundation and Keep Indianapolis Beautiful. Ms. O’Farrell holds a B.S. in accounting with honors and an M.B.A. in management information systems, both from Indiana University.</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Ms. O’Farrell provides the Board with extensive experience as a senior executive of a major pharmaceutical company with global operations. In addition, Ms. O’Farrell has been determined by the Board to be an “audit committee financial expert” (as defined in applicable SEC rules) for the Company.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8" w:right="39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Information Regarding Executive Officers</w:t>
      </w:r>
    </w:p>
    <w:p>
      <w:pPr>
        <w:spacing w:after="0" w:line="2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Certain information with respect to our current executive officers is set forth below. Under the Bylaws, each executive officer is appointed annually by the Board, and each holds office until such officer resigns, is removed, is otherwise disqualified to serve or such officer’s successor is elected and qualified. There are no family relationships among any of our directors or executive officers.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Borders>
              <w:bottom w:val="single" w:sz="8" w:color="CCEEFF"/>
            </w:tcBorders>
          </w:tcPr>
          <w:p>
            <w:pPr>
              <w:spacing w:after="0"/>
              <w:rPr>
                <w:sz w:val="20"/>
                <w:szCs w:val="20"/>
                <w:color w:val="auto"/>
              </w:rPr>
            </w:pPr>
          </w:p>
        </w:tc>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5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Dominique Monnet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22"/>
                <w:szCs w:val="22"/>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5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Christopher Stone</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Vice President, General Counsel and Secretary</w:t>
            </w:r>
          </w:p>
        </w:tc>
      </w:tr>
      <w:tr>
        <w:trPr>
          <w:trHeight w:val="263"/>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Edward Imbrogno</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22"/>
                <w:szCs w:val="22"/>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Chief Financial Officer and Chief Accounting Officer</w:t>
            </w: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Dominique Monnet</w:t>
      </w:r>
      <w:r>
        <w:rPr>
          <w:rFonts w:ascii="Arial" w:cs="Arial" w:eastAsia="Arial" w:hAnsi="Arial"/>
          <w:sz w:val="18"/>
          <w:szCs w:val="18"/>
          <w:color w:val="auto"/>
        </w:rPr>
        <w:t>, please see discussion under “</w:t>
      </w:r>
      <w:r>
        <w:rPr>
          <w:rFonts w:ascii="Arial" w:cs="Arial" w:eastAsia="Arial" w:hAnsi="Arial"/>
          <w:sz w:val="18"/>
          <w:szCs w:val="18"/>
          <w:b w:val="1"/>
          <w:bCs w:val="1"/>
          <w:i w:val="1"/>
          <w:iCs w:val="1"/>
          <w:color w:val="auto"/>
        </w:rPr>
        <w:t>Directors Continuing in Office until the 2021 Annual Meeting of Stockholders</w:t>
      </w:r>
      <w:r>
        <w:rPr>
          <w:rFonts w:ascii="Arial" w:cs="Arial" w:eastAsia="Arial" w:hAnsi="Arial"/>
          <w:sz w:val="18"/>
          <w:szCs w:val="18"/>
          <w:color w:val="auto"/>
        </w:rPr>
        <w:t>” for biographical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Mr. Monnet.</w:t>
      </w:r>
    </w:p>
    <w:p>
      <w:pPr>
        <w:spacing w:after="0" w:line="19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i w:val="1"/>
          <w:iCs w:val="1"/>
          <w:color w:val="auto"/>
        </w:rPr>
        <w:t xml:space="preserve">Christopher Stone </w:t>
      </w:r>
      <w:r>
        <w:rPr>
          <w:rFonts w:ascii="Arial" w:cs="Arial" w:eastAsia="Arial" w:hAnsi="Arial"/>
          <w:sz w:val="17"/>
          <w:szCs w:val="17"/>
          <w:color w:val="auto"/>
        </w:rPr>
        <w:t>joined the Company in February 2009 as our Vice President, General Counsel and Secretary. He brings more than 30 years of legal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to the role. Before joining PDL, Mr. Stone served as Vice President of Legal Affairs and Corporate Secretary at LS9, an advanced biofuels development company, where his work included a focus on intellectual property protection and licensing. Prior to that time, he was Vice President of Intellectual Assets USA at Danisco A/S, a global producer of food ingredients, enzymes and bio-based solutions. From 1994 to 2005, Mr. Stone was with Genencor International, a biotechnology company that was acquired by Danisco in 2005, most recently as Vice President of Intellectual Property and General Patent Counsel. At Genencor, he handled all intellectual property matters, including developing and implementing an overall strategy for its domestic and international patent estate of approximately 3,700 patents and patent applications, and managed multiple litigation and interference proceedings and numerous European patent oppositions. Mr. Stone received a J.D. from the National Law Center at George Washington University and a B.S. in Biochemistry from the University of Massachusetts. He is an active member of the District of Columbia Bar, Nevada Bar (company counsel) and California Bar, and was admitted to practice before the United States Patent &amp; Trademark Office in 1992.</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Edward Imbrogno </w:t>
      </w:r>
      <w:r>
        <w:rPr>
          <w:rFonts w:ascii="Arial" w:cs="Arial" w:eastAsia="Arial" w:hAnsi="Arial"/>
          <w:sz w:val="17"/>
          <w:szCs w:val="17"/>
          <w:color w:val="auto"/>
        </w:rPr>
        <w:t>joined the Company in October 2018 as our Vice President, Finance. In July 2019, he was appointed as Chief Accounting Officer, in</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2019, he was appointed as Acting Chief Financial Officer and in March 2020, he was appointed Chief Financial Officer. From May 2017 to October 2018, Mr. Imbrogno was Senior Director and Corporate Controller for BioDelivery Sciences International, Inc., a Nasdaq-listed specialty pharmaceutical company. From June 2016 to April 2017, Mr. Imbrogno provided accounting and financial reporting consulting services. From September 2013 to May 2014, Mr. Imbrogno was Vice President, Financial Reporting for International Lease Finance Corporation, the world’s largest independent aircraft lessor, until its acquisition by AerCap Holdings N.V. Mr. Imbrogno remained with AerCap through March 2016 assisting with post-acquisition financial reporting transition, primarily at AerCap’s headquarters in Amsterdam, Netherlands. From 2006 to 2013, he was Director, Accounting for Amgen, a Nasdaq-listed multinational biopharmaceutical company. Prior to Amgen, Mr. Imbrogno held positions at several companies with increasing financial accounting and reporting responsibilities. Mr. Imbrogno began his career in public accounting with Ernst &amp; Young LLP culminating as an Audit Manager where he provided audit and related financial services to public and private companies. Mr. Imbrogno holds a B.S. in accounting from Pennsylvania State University and an M.B.A. from Wake Forest University. He is a licensed Certified Public Accountant and is a member of the American Institute of Certified Public Accountants.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has adopted a Code of Business Conduct (the “Conduct Code”) that applies to all officers, directors and employees. A stockholder can obtain a copy of the Code of Conduct from the Company without charge, by requesting it by telephone at (775) 832-8500 or in writing to the following address: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PDL BioPharma,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 Damonte Ranch Parkway, Suite B-375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Reno, Nevada 89521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Candidates for Nomination</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Before we filed a certificate of dissolution with the Secretary of State of Delaware and also voluntarily delisted our common stock from the Nasdaq Global Stock Market in January 2021, the Nominating and Governance Committee of the Board had adopted a policy to evaluate any recommendation for director nominee proposed by a stockholder, and our Bylaws also permit stockholders to nominate directors for consideration at an annual meeting, subject to certain conditions. Other than the Board disbanding the Nominating and Governance Committee and assuming its duties, there have been no changes to these procedures since the Company’s disclosures of these procedures in its definitive proxy statement for the 2020 annual meeting of stockholders filed with the SEC on July 7,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Information</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Audit Committee of the Board was established by the Board in accordance with Section 3(a)(58)(A) of the Exchange Act to oversee the Company’s corporate accounting and financial reporting processes and audits of our financial statements. As of December 31, 2020, the Audit Committee was comprised of Mr. Gryska, Ms. O’Farrell and Mr. Bazaar. Mr. Gryska was the chairperson of the Audit Committee until his resignation from the Board on December 31, 2020. Following the Company’s delisting from Nasdaq in January 2021, the Audit Committee was disbanded, at which point the Board assumed the duties of the Audit Committee.</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Board determined that all members of the Audit Committee were independent directors in 2020 as defined in the Nasdaq qualification standards and by Section 10A of the Exchange Act. In addition, Mr. Gryska and Ms. O’Farrell each were determined by the Board to be an “audit committee financial expert” as defined by applicable SEC rules.</w:t>
      </w:r>
    </w:p>
    <w:p>
      <w:pPr>
        <w:spacing w:after="0" w:line="20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This Compensation Discussion and Analysis describes our compensation program as it relates to our named executive officers set forth below in “Executive Officer Compensation-Summary Compensation Table.” Our named executive officers for 2020 include Dominique Monnet, our President and Chief Executive Officer; Christopher Stone, our Vice President, General Counsel and Secretary; Edward Imbrogno, our Vice President, Chief Financial Officer and Chief Accounting Officer; and Jill Jene, our former Vice President, Business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Compensation Discussion and Analysis in the following sections: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990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93"/>
              </w:rPr>
              <w:t>Executive Summary</w:t>
            </w:r>
            <w:r>
              <w:rPr>
                <w:rFonts w:ascii="Arial" w:cs="Arial" w:eastAsia="Arial" w:hAnsi="Arial"/>
                <w:sz w:val="18"/>
                <w:szCs w:val="18"/>
                <w:color w:val="auto"/>
                <w:w w:val="93"/>
              </w:rPr>
              <w:t>. In this section, we describe certain aspects of our business, highlight our 2020 corporate performance, and</w:t>
            </w:r>
          </w:p>
        </w:tc>
        <w:tc>
          <w:tcPr>
            <w:tcW w:w="400" w:type="dxa"/>
            <w:vAlign w:val="bottom"/>
          </w:tcPr>
          <w:p>
            <w:pPr>
              <w:ind w:left="160"/>
              <w:spacing w:after="0"/>
              <w:rPr>
                <w:sz w:val="20"/>
                <w:szCs w:val="20"/>
                <w:color w:val="auto"/>
              </w:rPr>
            </w:pPr>
            <w:r>
              <w:rPr>
                <w:rFonts w:ascii="Arial" w:cs="Arial" w:eastAsia="Arial" w:hAnsi="Arial"/>
                <w:sz w:val="18"/>
                <w:szCs w:val="18"/>
                <w:color w:val="auto"/>
              </w:rPr>
              <w:t>p.</w:t>
            </w:r>
          </w:p>
        </w:tc>
        <w:tc>
          <w:tcPr>
            <w:tcW w:w="360" w:type="dxa"/>
            <w:vAlign w:val="bottom"/>
            <w:gridSpan w:val="2"/>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113</w:t>
              </w:r>
            </w:hyperlink>
          </w:p>
        </w:tc>
      </w:tr>
      <w:tr>
        <w:trPr>
          <w:trHeight w:val="223"/>
        </w:trPr>
        <w:tc>
          <w:tcPr>
            <w:tcW w:w="38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summarize certain governance aspects of our executive compensation program.</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r>
      <w:tr>
        <w:trPr>
          <w:trHeight w:val="27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990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90"/>
              </w:rPr>
              <w:t>Executive Compensation Program Philosophy, Objectives and Process</w:t>
            </w:r>
            <w:r>
              <w:rPr>
                <w:rFonts w:ascii="Arial" w:cs="Arial" w:eastAsia="Arial" w:hAnsi="Arial"/>
                <w:sz w:val="18"/>
                <w:szCs w:val="18"/>
                <w:color w:val="auto"/>
                <w:w w:val="90"/>
              </w:rPr>
              <w:t>. In this section, we describe our executive compensation</w:t>
            </w:r>
          </w:p>
        </w:tc>
        <w:tc>
          <w:tcPr>
            <w:tcW w:w="400" w:type="dxa"/>
            <w:vAlign w:val="bottom"/>
          </w:tcPr>
          <w:p>
            <w:pPr>
              <w:ind w:left="160"/>
              <w:spacing w:after="0"/>
              <w:rPr>
                <w:sz w:val="20"/>
                <w:szCs w:val="20"/>
                <w:color w:val="auto"/>
              </w:rPr>
            </w:pPr>
            <w:r>
              <w:rPr>
                <w:rFonts w:ascii="Arial" w:cs="Arial" w:eastAsia="Arial" w:hAnsi="Arial"/>
                <w:sz w:val="18"/>
                <w:szCs w:val="18"/>
                <w:color w:val="auto"/>
              </w:rPr>
              <w:t>p.</w:t>
            </w:r>
          </w:p>
        </w:tc>
        <w:tc>
          <w:tcPr>
            <w:tcW w:w="360" w:type="dxa"/>
            <w:vAlign w:val="bottom"/>
            <w:gridSpan w:val="2"/>
          </w:tcPr>
          <w:p>
            <w:pPr>
              <w:jc w:val="right"/>
              <w:spacing w:after="0"/>
              <w:rPr>
                <w:rFonts w:ascii="Arial" w:cs="Arial" w:eastAsia="Arial" w:hAnsi="Arial"/>
                <w:sz w:val="18"/>
                <w:szCs w:val="18"/>
                <w:color w:val="0000FF"/>
              </w:rPr>
            </w:pPr>
            <w:hyperlink w:anchor="page115">
              <w:r>
                <w:rPr>
                  <w:rFonts w:ascii="Arial" w:cs="Arial" w:eastAsia="Arial" w:hAnsi="Arial"/>
                  <w:sz w:val="18"/>
                  <w:szCs w:val="18"/>
                  <w:color w:val="0000FF"/>
                </w:rPr>
                <w:t>116</w:t>
              </w:r>
            </w:hyperlink>
          </w:p>
        </w:tc>
      </w:tr>
      <w:tr>
        <w:trPr>
          <w:trHeight w:val="195"/>
        </w:trPr>
        <w:tc>
          <w:tcPr>
            <w:tcW w:w="380" w:type="dxa"/>
            <w:vAlign w:val="bottom"/>
          </w:tcPr>
          <w:p>
            <w:pPr>
              <w:spacing w:after="0"/>
              <w:rPr>
                <w:sz w:val="16"/>
                <w:szCs w:val="16"/>
                <w:color w:val="auto"/>
              </w:rPr>
            </w:pPr>
          </w:p>
        </w:tc>
        <w:tc>
          <w:tcPr>
            <w:tcW w:w="9900" w:type="dxa"/>
            <w:vAlign w:val="bottom"/>
          </w:tcPr>
          <w:p>
            <w:pPr>
              <w:ind w:left="220"/>
              <w:spacing w:after="0" w:line="195" w:lineRule="exact"/>
              <w:rPr>
                <w:sz w:val="20"/>
                <w:szCs w:val="20"/>
                <w:color w:val="auto"/>
              </w:rPr>
            </w:pPr>
            <w:r>
              <w:rPr>
                <w:rFonts w:ascii="Arial" w:cs="Arial" w:eastAsia="Arial" w:hAnsi="Arial"/>
                <w:sz w:val="18"/>
                <w:szCs w:val="18"/>
                <w:color w:val="auto"/>
                <w:w w:val="98"/>
              </w:rPr>
              <w:t>philosophy and objectives and the process the Compensation Committee follows in deciding how to compensate our named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r>
      <w:tr>
        <w:trPr>
          <w:trHeight w:val="230"/>
        </w:trPr>
        <w:tc>
          <w:tcPr>
            <w:tcW w:w="38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executive officers and the material elements of our executive compensation program.</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990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96"/>
              </w:rPr>
              <w:t>Compensation Program Elements</w:t>
            </w:r>
            <w:r>
              <w:rPr>
                <w:rFonts w:ascii="Arial" w:cs="Arial" w:eastAsia="Arial" w:hAnsi="Arial"/>
                <w:sz w:val="18"/>
                <w:szCs w:val="18"/>
                <w:color w:val="auto"/>
                <w:w w:val="96"/>
              </w:rPr>
              <w:t>. In this section, we present a brief overview of the specific elements of our compensation</w:t>
            </w:r>
          </w:p>
        </w:tc>
        <w:tc>
          <w:tcPr>
            <w:tcW w:w="400" w:type="dxa"/>
            <w:vAlign w:val="bottom"/>
          </w:tcPr>
          <w:p>
            <w:pPr>
              <w:ind w:left="160"/>
              <w:spacing w:after="0"/>
              <w:rPr>
                <w:sz w:val="20"/>
                <w:szCs w:val="20"/>
                <w:color w:val="auto"/>
              </w:rPr>
            </w:pPr>
            <w:r>
              <w:rPr>
                <w:rFonts w:ascii="Arial" w:cs="Arial" w:eastAsia="Arial" w:hAnsi="Arial"/>
                <w:sz w:val="18"/>
                <w:szCs w:val="18"/>
                <w:color w:val="auto"/>
              </w:rPr>
              <w:t>p.</w:t>
            </w:r>
          </w:p>
        </w:tc>
        <w:tc>
          <w:tcPr>
            <w:tcW w:w="360" w:type="dxa"/>
            <w:vAlign w:val="bottom"/>
            <w:gridSpan w:val="2"/>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118</w:t>
              </w:r>
            </w:hyperlink>
          </w:p>
        </w:tc>
      </w:tr>
      <w:tr>
        <w:trPr>
          <w:trHeight w:val="195"/>
        </w:trPr>
        <w:tc>
          <w:tcPr>
            <w:tcW w:w="380" w:type="dxa"/>
            <w:vAlign w:val="bottom"/>
          </w:tcPr>
          <w:p>
            <w:pPr>
              <w:spacing w:after="0"/>
              <w:rPr>
                <w:sz w:val="16"/>
                <w:szCs w:val="16"/>
                <w:color w:val="auto"/>
              </w:rPr>
            </w:pPr>
          </w:p>
        </w:tc>
        <w:tc>
          <w:tcPr>
            <w:tcW w:w="9900" w:type="dxa"/>
            <w:vAlign w:val="bottom"/>
          </w:tcPr>
          <w:p>
            <w:pPr>
              <w:ind w:left="220"/>
              <w:spacing w:after="0" w:line="195" w:lineRule="exact"/>
              <w:rPr>
                <w:sz w:val="20"/>
                <w:szCs w:val="20"/>
                <w:color w:val="auto"/>
              </w:rPr>
            </w:pPr>
            <w:r>
              <w:rPr>
                <w:rFonts w:ascii="Arial" w:cs="Arial" w:eastAsia="Arial" w:hAnsi="Arial"/>
                <w:sz w:val="18"/>
                <w:szCs w:val="18"/>
                <w:color w:val="auto"/>
                <w:w w:val="92"/>
              </w:rPr>
              <w:t>program and a detailed discussion and analysis of the Compensation Committee’s specific decisions about the compensation of our</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r>
      <w:tr>
        <w:trPr>
          <w:trHeight w:val="230"/>
        </w:trPr>
        <w:tc>
          <w:tcPr>
            <w:tcW w:w="38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named executive officers for fiscal year 2020.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4.</w:t>
            </w:r>
          </w:p>
        </w:tc>
        <w:tc>
          <w:tcPr>
            <w:tcW w:w="9900" w:type="dxa"/>
            <w:vAlign w:val="bottom"/>
          </w:tcPr>
          <w:p>
            <w:pPr>
              <w:ind w:left="220"/>
              <w:spacing w:after="0"/>
              <w:rPr>
                <w:sz w:val="20"/>
                <w:szCs w:val="20"/>
                <w:color w:val="auto"/>
              </w:rPr>
            </w:pPr>
            <w:r>
              <w:rPr>
                <w:rFonts w:ascii="Arial" w:cs="Arial" w:eastAsia="Arial" w:hAnsi="Arial"/>
                <w:sz w:val="18"/>
                <w:szCs w:val="18"/>
                <w:b w:val="1"/>
                <w:bCs w:val="1"/>
                <w:i w:val="1"/>
                <w:iCs w:val="1"/>
                <w:color w:val="auto"/>
                <w:w w:val="91"/>
              </w:rPr>
              <w:t>Other Executive Compensation Matters</w:t>
            </w:r>
            <w:r>
              <w:rPr>
                <w:rFonts w:ascii="Arial" w:cs="Arial" w:eastAsia="Arial" w:hAnsi="Arial"/>
                <w:sz w:val="18"/>
                <w:szCs w:val="18"/>
                <w:color w:val="auto"/>
                <w:w w:val="91"/>
              </w:rPr>
              <w:t>. In this section, we summarize our other compensation policies, review the accounting and</w:t>
            </w:r>
          </w:p>
        </w:tc>
        <w:tc>
          <w:tcPr>
            <w:tcW w:w="400" w:type="dxa"/>
            <w:vAlign w:val="bottom"/>
          </w:tcPr>
          <w:p>
            <w:pPr>
              <w:ind w:left="160"/>
              <w:spacing w:after="0"/>
              <w:rPr>
                <w:sz w:val="20"/>
                <w:szCs w:val="20"/>
                <w:color w:val="auto"/>
              </w:rPr>
            </w:pPr>
            <w:r>
              <w:rPr>
                <w:rFonts w:ascii="Arial" w:cs="Arial" w:eastAsia="Arial" w:hAnsi="Arial"/>
                <w:sz w:val="18"/>
                <w:szCs w:val="18"/>
                <w:color w:val="auto"/>
              </w:rPr>
              <w:t>p.</w:t>
            </w:r>
          </w:p>
        </w:tc>
        <w:tc>
          <w:tcPr>
            <w:tcW w:w="360" w:type="dxa"/>
            <w:vAlign w:val="bottom"/>
            <w:gridSpan w:val="2"/>
          </w:tcPr>
          <w:p>
            <w:pPr>
              <w:jc w:val="right"/>
              <w:spacing w:after="0"/>
              <w:rPr>
                <w:rFonts w:ascii="Arial" w:cs="Arial" w:eastAsia="Arial" w:hAnsi="Arial"/>
                <w:sz w:val="18"/>
                <w:szCs w:val="18"/>
                <w:color w:val="0000FF"/>
              </w:rPr>
            </w:pPr>
            <w:hyperlink w:anchor="page122">
              <w:r>
                <w:rPr>
                  <w:rFonts w:ascii="Arial" w:cs="Arial" w:eastAsia="Arial" w:hAnsi="Arial"/>
                  <w:sz w:val="18"/>
                  <w:szCs w:val="18"/>
                  <w:color w:val="0000FF"/>
                </w:rPr>
                <w:t>123</w:t>
              </w:r>
            </w:hyperlink>
          </w:p>
        </w:tc>
      </w:tr>
      <w:tr>
        <w:trPr>
          <w:trHeight w:val="223"/>
        </w:trPr>
        <w:tc>
          <w:tcPr>
            <w:tcW w:w="38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18"/>
                <w:szCs w:val="18"/>
                <w:color w:val="auto"/>
              </w:rPr>
              <w:t>tax treatment of compensation and the relationship between our compensation program and risk.</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r>
    </w:tbl>
    <w:p>
      <w:pPr>
        <w:spacing w:after="0" w:line="24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This Compensation Discussion and Analysis contains forward-looking statements that are based on our current plans, considerations, expectations and determinations regarding future compensation programs. The actual compensation programs that we adopt in the future may differ materially from currently planned programs as summarized in this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Business Overview</w:t>
      </w:r>
    </w:p>
    <w:p>
      <w:pPr>
        <w:spacing w:after="0" w:line="252"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In September of 2019, our Board and management decided to initiate a strategic review process of the Company’s business and growth strategy with the assistance of certain independent financial advisors, during which we suspended our growth strategy. In December of 2019, we announced that the Board had completed the strategic review process and, as a result, we decided to halt the execution of our growth strategy, cease additional strategic investments and pursue a formal process to unlock value by monetizing our assets and returning net proceeds to our stockholders.</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Over the subsequent months, the Board and management analyzed, together with outside financial and legal advisors, how to best capture value pursuant to our monetization strategy and best return the significant intrinsic value of the assets in our portfolio to our stockholders. In February 2020, the Board adopted a plan of complete liquidation (the “Plan of Liquidation”). Adopting the Plan of Liquidation was an important first step for any distributions to our stockholders pursuant to that plan to qualify as liquidating distributions, which are eligible for potentially preferable tax treatment under U.S. federal tax law. There can be no assurance any such distributions will in fact be made or that they will ultimately be determined to be liquidating distributions.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our monetization strategy and Plan of Liquidation, we explored a variety of potential transactions, including a whole Company sale, divestiture of assets, spin-offs of operating entities, merger opportunities or a combination thereof. In addition, we analyzed, and continue to analyze, optimal mechanisms for returning value to stockholders in a tax-efficient manner, including share repurchases, cash dividends and other distributions of assets. Despite the challenges of COVID-19, we made significant progress in our monetization strategy during 2020, including monetizing most of our key assets and resolving a longstanding legal issue, as further discussed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May 2020 we distributed all of the common stock of Evofem Biosciences, Inc. held by us to our stockholders.</w:t>
      </w:r>
    </w:p>
    <w:p>
      <w:pPr>
        <w:spacing w:after="0" w:line="25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August 2020, we entered into a settlement agreement with the Wellstat Parties (the “Wellstat Settlement Agreement”) resolving previously reported litigation relating to loans we made to Wellstat Diagnostics. Pursuant to the Settlement Agreement we received $7.5 million upon the signing, and the Settlement Agreement further provided for additional payments of either (1) $5.0 million by February 10, 2021 and $55.0 million by July 26, 2021; or (2) $67.5 million by July 26, 2021. If the Wellstat Parties fail to make payment in full by July 26, 2021, we were authorized to record judgment against the Wellstat Parties for an amount of $92.5 million or such lesser amount as may be owed under the Settlement Agreement.</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Also in August 2020, the Company sold its royalty interests for Kybella®, Zalviso®, and Coflex® to SWK Funding, LLC, a wholly owned subsidiary of SWK Holdings Corporation, for $4.35 million in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2020, the Company closed the sale of its previously wholly-owned subsidiaries, Noden Pharma DAC and Noden Pharma USA, Inc. to CAT Capital Bidco Limited, an indirect, wholly-owned subsidiary of Stanley Capital Limited for consideration of up to $52.8 million, including a payment at closing of $12.2 million. The Company is also entitled to (i) recover $0.5 million related to value-added tax for inventory purchases from Novartis, (ii) an additional $33.0 million to be paid in twelve equal quarterly installments from January 2021 to October 2023, (iii) an additional $3.9 million to be paid in four equal quarterly installments from January 2023 to October 2023 and (iv) additional contingent payments of up to $3.2 million based on the occurrence of certain events.</w:t>
      </w:r>
    </w:p>
    <w:p>
      <w:pPr>
        <w:spacing w:after="0" w:line="216"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color w:val="auto"/>
        </w:rPr>
        <w:t>In October 2020, the Company completed the previously announced spin-off of its subsidiary LENSAR, Inc. into a new, independent publicly traded company, through a distribution of all outstanding shares of LENSAR common stock owned by the Company to its stockholders on a pro rata basis.</w:t>
      </w:r>
    </w:p>
    <w:p>
      <w:pPr>
        <w:spacing w:after="0" w:line="15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December 2020, the Company entered into a Capital Provision Agreement with Epps Investments LLC (“Epps”) by which it sold all rights to awards, damages, recoveries, judgments or other property or value awarded to or received by the Company pursuant to or as a result of the Wellstat Settlement Agreement or any underlying claim resolved by such settlement agreement for approximately $51.3 million (the “Wellstat Settlement Sale”).</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early January 2021, in connection with our Plan of Dissolution, we filed a certificate of dissolution with the Secretary of State of Delaware and also voluntarily de-listed our common stock from the Nasdaq Global Stock Market. Also in January 2021, we filed a Form 15 notifying the SEC of deregistration of our common stock under Section 12(g) of the Exchange Act and suspension of our duty to file reports under Sections 13 and 15(d)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Fiscal 2020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Emphasis on “At Risk”, Performance Based Compensation</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Compensation Committee is focused on linking both cash and equity compensation to Company performance and making a significant portion of such compensation variable or “at risk.” “At risk” pay is tied to the achievement of corporate goals, individual objectives and/or stock price performance. Since 2014, all cash and equity compensation earned by executive officers has been “at risk” under the annual bonus and long-term incentive plans devised by the Compensation Committee; the only component of compensation not “at risk” has been base salary.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2020 Compensation Decisions Affecting our Chief Executive Officer:</w:t>
      </w:r>
    </w:p>
    <w:p>
      <w:pPr>
        <w:spacing w:after="0" w:line="252" w:lineRule="exact"/>
        <w:rPr>
          <w:sz w:val="20"/>
          <w:szCs w:val="20"/>
          <w:color w:val="auto"/>
        </w:rPr>
      </w:pPr>
    </w:p>
    <w:p>
      <w:pPr>
        <w:ind w:left="660" w:right="80" w:hanging="328"/>
        <w:spacing w:after="0" w:line="26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Base Salary and Target Annual Bonus for Chief Executive Officer Position in 2020</w:t>
      </w:r>
      <w:r>
        <w:rPr>
          <w:rFonts w:ascii="Arial" w:cs="Arial" w:eastAsia="Arial" w:hAnsi="Arial"/>
          <w:sz w:val="18"/>
          <w:szCs w:val="18"/>
          <w:color w:val="auto"/>
        </w:rPr>
        <w:t>: For 2020, Mr. Monnet received a salary of $650,875,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2.5% in comparison to his annual salary in 2019, and had a target bonus equal to 80% of his annual salary, which was unchanged from 2019.</w:t>
      </w:r>
    </w:p>
    <w:p>
      <w:pPr>
        <w:spacing w:after="0" w:line="21"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Target Annual Bonus Payout for Chief Executive Officer in 2020</w:t>
      </w:r>
      <w:r>
        <w:rPr>
          <w:rFonts w:ascii="Arial" w:cs="Arial" w:eastAsia="Arial" w:hAnsi="Arial"/>
          <w:sz w:val="18"/>
          <w:szCs w:val="18"/>
          <w:color w:val="auto"/>
        </w:rPr>
        <w:t>: For 2020, Mr. Monnet received an annual bonus payout equal to 100% of his</w:t>
      </w:r>
      <w:r>
        <w:rPr>
          <w:rFonts w:ascii="Arial" w:cs="Arial" w:eastAsia="Arial" w:hAnsi="Arial"/>
          <w:sz w:val="18"/>
          <w:szCs w:val="18"/>
          <w:i w:val="1"/>
          <w:iCs w:val="1"/>
          <w:color w:val="auto"/>
        </w:rPr>
        <w:t xml:space="preserve"> </w:t>
      </w:r>
      <w:r>
        <w:rPr>
          <w:rFonts w:ascii="Arial" w:cs="Arial" w:eastAsia="Arial" w:hAnsi="Arial"/>
          <w:sz w:val="18"/>
          <w:szCs w:val="18"/>
          <w:color w:val="auto"/>
        </w:rPr>
        <w:t>target bonus based on the Company's performance relative to the corporate objectives established by the Compensation Committee for 2020 annual bonus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Annual Bonus Plan</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Company’s 2020 annual bonus plan, the Compensation Committee eliminated the individual goal scoring portion for executive officers (other than the Company’s chief executive officer, whose goals have always been based 100% on corporate goals) and the Company’s employees. The Compensation Committee determined that, in order to appropriately align each participant’s incentives with the Plan of Liquidation, all payments under the 2020 annual bonus plan should be based solely on the achievement of the corporate goals under the plan with no individual goal component. In addition, the corporate goals were designed to be aligned with the Plan of Liquidation.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 Down Retention Plan</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After we announced our strategy to monetize our assets and distribute net proceeds to our stockholders, we recognized that our ability to execute on our monetization plan and optimize returns to our stockholders depended to a large extent on our ability to retain the necessary expertise to effectively transact with respect to our assets. Due to the unique diverse nature of our assets, we believe that effectively transacting our assets requires a significant level of expertise and engagement. Accordingly, on December 21, 2019, the Compensation Committee of the Board adopted a Wind Down Retention Plan in which the Company’s executive officers and other key employees were eligible to participate. We believe that the Wind Down Retention Plan was a necessary component for both efficiently implementing our monetization strategy and also to fully optimize asset value and subsequent stockholder returns.</w:t>
      </w:r>
    </w:p>
    <w:p>
      <w:pPr>
        <w:spacing w:after="0" w:line="19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Wind Down Retention Plan, participants were eligible to earn a retention benefit in consideration for their continued employment with the Company. The Wind Down Retention benefits were equivalent to previously disclosed compensation payments contemplated in connection with a change in control under the Company’s existing Severance Plan. For our Chief Executive Officer, the retention benefit was a lump sum cash payment equal to three times the sum of his base salary and target bonus, plus an amount equal to the cost of 12 months of health insurance continuation under COBRA. For other named executive officers, the retention benefit was equal to two times the sum of their base salary and target bonus, plus an amount equal to the cost of 12 months of health insurance continuation under COBRA. Under the Wind Down Retention Plan, payment of the retention benefit to any participant would occur upon termination of the participant’s employment with the Company either by the Company without cause or by the participant for good reason. The retention benefit, if paid, would be in lieu of (and not in addition to) any other severance compensation that could become payable to the participant under the Company’s Severance Plan. The Wind Down Retention Plan, during its term, superseded any inconsistent terms or duplicative benefits that would apply from the Company’s preexisting severance program.</w:t>
      </w:r>
    </w:p>
    <w:p>
      <w:pPr>
        <w:spacing w:after="0" w:line="2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Wind Down Retention Plan also provided that, consistent with the existing terms of the Amended and Restated 2005 Equity Incentive Plan (the “Equity Plan”), the vesting of all outstanding equity awards held by participants would be accelerated upon the earlier of: (i) a termination of the participant’s employment with the Company either by the Company without cause or by the participant for good reason or (ii) the consummation of a change in control (as defined in the Equity Plan) of the Company. In addition, the post-termination exercise period for all outstanding stock options will be extended until their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3" w:name="page114"/>
    <w:bookmarkEnd w:id="113"/>
    <w:p>
      <w:pPr>
        <w:ind w:right="500"/>
        <w:spacing w:after="0" w:line="277" w:lineRule="auto"/>
        <w:rPr>
          <w:sz w:val="20"/>
          <w:szCs w:val="20"/>
          <w:color w:val="auto"/>
        </w:rPr>
      </w:pPr>
      <w:r>
        <w:rPr>
          <w:rFonts w:ascii="Arial" w:cs="Arial" w:eastAsia="Arial" w:hAnsi="Arial"/>
          <w:sz w:val="18"/>
          <w:szCs w:val="18"/>
          <w:color w:val="auto"/>
        </w:rPr>
        <w:t>In February 2020, a change in control was triggered under the Wind Down Retention Plan and the Equity Plan by the Board’s adoption of the Plan of Liquidation, which resulted in the vesting of substantially all equity awards held by our named executive officers.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Wind Down Retention Plan further provides for equitable adjustments to outstanding stock options held by participants to ensure such participants realize the same benefits provided to stockholders in the event one or more cash or other distributions become payable to stockholders. Consistent with the existing terms of the Equity Incentive Plan, in the event one or more cash or other distributions are paid to stockholders, the exercise price of outstanding stock options will be reduced on a dollar-for-dollar basis to reflect the per share value of such distributions. In the event that the Company declares cash or other distributions that, in the aggregate, exceed the difference between the exercise price of an outstanding stock option and the par value of the underlying shares ($0.01), the holder of such stock option will be entitled to receive from the Company a cash payment in an amount equal to the number of shares subject to such stock option multiplied by the per share amount of the cash or other distributions that exceeds the difference between exercise price of the outstanding option and the par value of the underlying shares (a “true-up payment”). A true-up payment is also paid with respect to a post-dissolution cash or other distributions with respect to a stock-option that was not exercised prior to dissolution in the same fashion as provided above. True-up payments are to be made on the same date that cash or other distributions are paid or made to the Company’s stockholders.</w:t>
      </w:r>
    </w:p>
    <w:p>
      <w:pPr>
        <w:spacing w:after="0" w:line="1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terms of the Wind Down Retention Plan provide that the plan may not be amended or terminated without the written consent of each affected participant.</w:t>
      </w:r>
    </w:p>
    <w:p>
      <w:pPr>
        <w:spacing w:after="0" w:line="19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Given the previously disclosed decision to file for dissolution on January 4, 2021 and in order to realize certain potential tax benefits for the Company, the Compensation Committee and the Board approved the accelerated payment of the retention benefits under the Wind Down Retention Plan in December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Engagement and Response to 2020 Say-on-Pay Vote</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July 2020, we reached out to our top 25 stockholders, who in the aggregate owned approximately 70% of our outstanding common stock at such time, to determine if such stockholders had any issues or questions regarding the voting proposals in the 2020 proxy statement. An overwhelming majority of the votes cast (above 91%) at our annual meeting held in August 2020 were in favor of each of the proposals, including the “say-on-pay” proposal. In reviewing our executive compensation program, the Compensation Committee considered, among other things, the 2020 vote results and other feedback we received from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Compensation Governance Highlights</w:t>
      </w:r>
    </w:p>
    <w:p>
      <w:pPr>
        <w:spacing w:after="0" w:line="25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executive compensation program consists of an array of compensation governance features and controls. Below we summarize certain executive compensation-related practices that were in effect during 2020 and that we believe serve our stockholders’ long-term interests.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0"/>
          <w:szCs w:val="20"/>
          <w:color w:val="auto"/>
        </w:rPr>
      </w:pPr>
    </w:p>
    <w:p>
      <w:pPr>
        <w:ind w:left="600" w:hanging="483"/>
        <w:spacing w:after="0"/>
        <w:tabs>
          <w:tab w:leader="none" w:pos="6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The Compensation Committee is comprised solely of independent directors.</w:t>
      </w:r>
    </w:p>
    <w:p>
      <w:pPr>
        <w:spacing w:after="0" w:line="44" w:lineRule="exact"/>
        <w:rPr>
          <w:rFonts w:ascii="Arial" w:cs="Arial" w:eastAsia="Arial" w:hAnsi="Arial"/>
          <w:sz w:val="22"/>
          <w:szCs w:val="22"/>
          <w:color w:val="auto"/>
        </w:rPr>
      </w:pPr>
    </w:p>
    <w:p>
      <w:pPr>
        <w:ind w:left="600" w:hanging="483"/>
        <w:spacing w:after="0"/>
        <w:tabs>
          <w:tab w:leader="none" w:pos="6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structure a substantial portion of officer pay opportunities in the form of “at-risk” performance-based compensation.</w:t>
      </w:r>
    </w:p>
    <w:p>
      <w:pPr>
        <w:spacing w:after="0" w:line="66" w:lineRule="exact"/>
        <w:rPr>
          <w:rFonts w:ascii="Arial" w:cs="Arial" w:eastAsia="Arial" w:hAnsi="Arial"/>
          <w:sz w:val="22"/>
          <w:szCs w:val="22"/>
          <w:color w:val="auto"/>
        </w:rPr>
      </w:pPr>
    </w:p>
    <w:p>
      <w:pPr>
        <w:ind w:left="600" w:right="340" w:hanging="483"/>
        <w:spacing w:after="0" w:line="230" w:lineRule="auto"/>
        <w:tabs>
          <w:tab w:leader="none" w:pos="6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Our executive officers’ annual cash bonus is 100% attributable to the achievement of corporate goals set by the Compensation Committee and ratified by the Board and is fully at risk of non-payment in the event of unsatisfactory performance, thereby putting a substantial portion of our executive officers’ total annual cash compensation (comprised of base salary and an annual cash bonus opportunity) at risk and tied to the Company’s annual performance.</w:t>
      </w:r>
    </w:p>
    <w:p>
      <w:pPr>
        <w:spacing w:after="0" w:line="3" w:lineRule="exact"/>
        <w:rPr>
          <w:rFonts w:ascii="Arial" w:cs="Arial" w:eastAsia="Arial" w:hAnsi="Arial"/>
          <w:sz w:val="22"/>
          <w:szCs w:val="22"/>
          <w:color w:val="auto"/>
        </w:rPr>
      </w:pPr>
    </w:p>
    <w:p>
      <w:pPr>
        <w:ind w:left="600" w:hanging="483"/>
        <w:spacing w:after="0"/>
        <w:tabs>
          <w:tab w:leader="none" w:pos="6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conduct an annual say-on-pay vote.</w:t>
      </w:r>
    </w:p>
    <w:p>
      <w:pPr>
        <w:spacing w:after="0" w:line="44" w:lineRule="exact"/>
        <w:rPr>
          <w:rFonts w:ascii="Arial" w:cs="Arial" w:eastAsia="Arial" w:hAnsi="Arial"/>
          <w:sz w:val="22"/>
          <w:szCs w:val="22"/>
          <w:color w:val="auto"/>
        </w:rPr>
      </w:pPr>
    </w:p>
    <w:p>
      <w:pPr>
        <w:ind w:left="600" w:hanging="483"/>
        <w:spacing w:after="0"/>
        <w:tabs>
          <w:tab w:leader="none" w:pos="6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seek input from, listen to and respond to stockholders.</w:t>
      </w:r>
    </w:p>
    <w:p>
      <w:pPr>
        <w:spacing w:after="0" w:line="66" w:lineRule="exact"/>
        <w:rPr>
          <w:rFonts w:ascii="Arial" w:cs="Arial" w:eastAsia="Arial" w:hAnsi="Arial"/>
          <w:sz w:val="22"/>
          <w:szCs w:val="22"/>
          <w:color w:val="auto"/>
        </w:rPr>
      </w:pPr>
    </w:p>
    <w:p>
      <w:pPr>
        <w:ind w:left="600" w:right="20" w:hanging="483"/>
        <w:spacing w:after="0" w:line="225" w:lineRule="auto"/>
        <w:tabs>
          <w:tab w:leader="none" w:pos="6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have adopted a clawback policy to prevent executive officers involved in certain wrongful conduct from unjustly benefiting from such conduct, and to remove the financial incentives to engage in such conduct.</w:t>
      </w:r>
    </w:p>
    <w:p>
      <w:pPr>
        <w:spacing w:after="0" w:line="5" w:lineRule="exact"/>
        <w:rPr>
          <w:rFonts w:ascii="Arial" w:cs="Arial" w:eastAsia="Arial" w:hAnsi="Arial"/>
          <w:sz w:val="22"/>
          <w:szCs w:val="22"/>
          <w:color w:val="auto"/>
        </w:rPr>
      </w:pPr>
    </w:p>
    <w:p>
      <w:pPr>
        <w:ind w:left="600" w:hanging="483"/>
        <w:spacing w:after="0"/>
        <w:tabs>
          <w:tab w:leader="none" w:pos="6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enforce robust stock ownership guidelines for executive officers and directors.</w:t>
      </w:r>
    </w:p>
    <w:p>
      <w:pPr>
        <w:spacing w:after="0" w:line="66" w:lineRule="exact"/>
        <w:rPr>
          <w:rFonts w:ascii="Arial" w:cs="Arial" w:eastAsia="Arial" w:hAnsi="Arial"/>
          <w:sz w:val="22"/>
          <w:szCs w:val="22"/>
          <w:color w:val="auto"/>
        </w:rPr>
      </w:pPr>
    </w:p>
    <w:p>
      <w:pPr>
        <w:ind w:left="600" w:right="160" w:hanging="483"/>
        <w:spacing w:after="0" w:line="273" w:lineRule="auto"/>
        <w:tabs>
          <w:tab w:leader="none" w:pos="600" w:val="left"/>
        </w:tabs>
        <w:numPr>
          <w:ilvl w:val="0"/>
          <w:numId w:val="51"/>
        </w:numPr>
        <w:rPr>
          <w:rFonts w:ascii="Arial" w:cs="Arial" w:eastAsia="Arial" w:hAnsi="Arial"/>
          <w:sz w:val="19"/>
          <w:szCs w:val="19"/>
          <w:color w:val="auto"/>
        </w:rPr>
      </w:pPr>
      <w:r>
        <w:rPr>
          <w:rFonts w:ascii="Arial" w:cs="Arial" w:eastAsia="Arial" w:hAnsi="Arial"/>
          <w:sz w:val="16"/>
          <w:szCs w:val="16"/>
          <w:color w:val="auto"/>
        </w:rPr>
        <w:t>We strictly prohibit our directors and executive officers from “short sales,” hedging and other monetization transactions (such as zero-cost collars and forward sale contracts), holding the Company’s securities in margin accounts and pledging the Company’s securities as collateral for loans.</w:t>
      </w:r>
    </w:p>
    <w:p>
      <w:pPr>
        <w:ind w:left="600" w:hanging="483"/>
        <w:spacing w:after="0"/>
        <w:tabs>
          <w:tab w:leader="none" w:pos="600" w:val="left"/>
        </w:tabs>
        <w:numPr>
          <w:ilvl w:val="0"/>
          <w:numId w:val="51"/>
        </w:numPr>
        <w:rPr>
          <w:rFonts w:ascii="Arial" w:cs="Arial" w:eastAsia="Arial" w:hAnsi="Arial"/>
          <w:sz w:val="22"/>
          <w:szCs w:val="22"/>
          <w:color w:val="auto"/>
        </w:rPr>
      </w:pPr>
      <w:r>
        <w:rPr>
          <w:rFonts w:ascii="Arial" w:cs="Arial" w:eastAsia="Arial" w:hAnsi="Arial"/>
          <w:sz w:val="18"/>
          <w:szCs w:val="18"/>
          <w:color w:val="auto"/>
        </w:rPr>
        <w:t>The Compensation Committee retained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What We Do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0"/>
          <w:szCs w:val="20"/>
          <w:color w:val="auto"/>
        </w:rPr>
      </w:pPr>
    </w:p>
    <w:p>
      <w:pPr>
        <w:ind w:left="600" w:hanging="483"/>
        <w:spacing w:after="0"/>
        <w:tabs>
          <w:tab w:leader="none" w:pos="600" w:val="left"/>
        </w:tabs>
        <w:numPr>
          <w:ilvl w:val="0"/>
          <w:numId w:val="52"/>
        </w:numPr>
        <w:rPr>
          <w:rFonts w:ascii="Arial" w:cs="Arial" w:eastAsia="Arial" w:hAnsi="Arial"/>
          <w:sz w:val="22"/>
          <w:szCs w:val="22"/>
          <w:color w:val="auto"/>
        </w:rPr>
      </w:pPr>
      <w:r>
        <w:rPr>
          <w:rFonts w:ascii="Arial" w:cs="Arial" w:eastAsia="Arial" w:hAnsi="Arial"/>
          <w:sz w:val="18"/>
          <w:szCs w:val="18"/>
          <w:color w:val="auto"/>
        </w:rPr>
        <w:t>We do not provide gross-up tax payments for our named executive officers.</w:t>
      </w:r>
    </w:p>
    <w:p>
      <w:pPr>
        <w:spacing w:after="0" w:line="44" w:lineRule="exact"/>
        <w:rPr>
          <w:rFonts w:ascii="Arial" w:cs="Arial" w:eastAsia="Arial" w:hAnsi="Arial"/>
          <w:sz w:val="22"/>
          <w:szCs w:val="22"/>
          <w:color w:val="auto"/>
        </w:rPr>
      </w:pPr>
    </w:p>
    <w:p>
      <w:pPr>
        <w:ind w:left="600" w:hanging="483"/>
        <w:spacing w:after="0"/>
        <w:tabs>
          <w:tab w:leader="none" w:pos="600" w:val="left"/>
        </w:tabs>
        <w:numPr>
          <w:ilvl w:val="0"/>
          <w:numId w:val="52"/>
        </w:numPr>
        <w:rPr>
          <w:rFonts w:ascii="Arial" w:cs="Arial" w:eastAsia="Arial" w:hAnsi="Arial"/>
          <w:sz w:val="22"/>
          <w:szCs w:val="22"/>
          <w:color w:val="auto"/>
        </w:rPr>
      </w:pPr>
      <w:r>
        <w:rPr>
          <w:rFonts w:ascii="Arial" w:cs="Arial" w:eastAsia="Arial" w:hAnsi="Arial"/>
          <w:sz w:val="18"/>
          <w:szCs w:val="18"/>
          <w:color w:val="auto"/>
        </w:rPr>
        <w:t>We do not provide guaranteed bonuses.</w:t>
      </w:r>
    </w:p>
    <w:p>
      <w:pPr>
        <w:spacing w:after="0" w:line="44" w:lineRule="exact"/>
        <w:rPr>
          <w:rFonts w:ascii="Arial" w:cs="Arial" w:eastAsia="Arial" w:hAnsi="Arial"/>
          <w:sz w:val="22"/>
          <w:szCs w:val="22"/>
          <w:color w:val="auto"/>
        </w:rPr>
      </w:pPr>
    </w:p>
    <w:p>
      <w:pPr>
        <w:ind w:left="600" w:hanging="483"/>
        <w:spacing w:after="0"/>
        <w:tabs>
          <w:tab w:leader="none" w:pos="600" w:val="left"/>
        </w:tabs>
        <w:numPr>
          <w:ilvl w:val="0"/>
          <w:numId w:val="52"/>
        </w:numPr>
        <w:rPr>
          <w:rFonts w:ascii="Arial" w:cs="Arial" w:eastAsia="Arial" w:hAnsi="Arial"/>
          <w:sz w:val="22"/>
          <w:szCs w:val="22"/>
          <w:color w:val="auto"/>
        </w:rPr>
      </w:pPr>
      <w:r>
        <w:rPr>
          <w:rFonts w:ascii="Arial" w:cs="Arial" w:eastAsia="Arial" w:hAnsi="Arial"/>
          <w:sz w:val="18"/>
          <w:szCs w:val="18"/>
          <w:color w:val="auto"/>
        </w:rPr>
        <w:t>We do not re-price underwater awards and do not provide discount stock options or stock appreciation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Philosophy, Objectives and Process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 and Objectives</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Compensation Committee has structured our executive compensation program to take into account our unique business model, leveraged headcount and location. In 2020, given our monetization strategy adopted by our Board, the Compensation Committee structured executive compensation to incentivize our executives to maximize net proceeds under the Plan of Liquidation for purposes of maximizing distributions to be made to the Company’s stockholders.</w:t>
      </w:r>
    </w:p>
    <w:p>
      <w:pPr>
        <w:spacing w:after="0" w:line="21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Compensation Committee structured our executive compensation program in a manner that it believes does not promote inappropriate risk taking by our executive officers, and encourages them to take a balanced approach, focused on achieving our corporate goals and enhancing stockholder return. A more complete discussion regarding the risk assessment process can be found at “Risk Assessment of Compensation Policies”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w:t>
      </w:r>
    </w:p>
    <w:p>
      <w:pPr>
        <w:spacing w:after="0" w:line="25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When making executive compensation program decisions, the Compensation Committee reviewed: (i) the Company’s competitive market compensation data, (ii) our performance against our corporate goals and objectives, (iii) our performance relative to our comparator companies, and (iv) the unique circumstances of the Company, most significantly, the monetization strategy adopted by our Board at the end of 2019. To accomplish these reviews, the Compensation Committee engaged Board Advisory to provide advice on competitive market practice and recommendations for structuring our named executive officers’ compensation for fiscal year 2020. Board Advisory reports, and is accountable, to the Compensation Committee, and may not conduct any other work for us without the authorization of the Compensation Committee. Board Advisory did not provide any services to us in 2020 beyond its engagement as an advisor to the Compensation Committee on compensation matters. After review and consultation with Board Advisory, the Compensation Committee has determined that Board Advisory is independent and there is no conflict of interest resulting from retaining Board Advisory currently or during the year ended December 31, 2020. In reaching these conclusions, the Compensation Committee considered the factors set forth in Exchange Act Rule 10C-1 and Nasdaq Stock Market (“Nasdaq”) listing standards.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chief executive officer aided the Compensation Committee by providing annual recommendations regarding the compensation of all executive officers, other than himself. Each named executive officer, in turn, participates in an annual performance review with the chief executive officer to provide input about his or her contributions to the Company’s success for the period being assessed. The performance of our chief executive officer and executive team as a group is reviewed annually by the Compensation Committee.</w:t>
      </w:r>
    </w:p>
    <w:p>
      <w:pPr>
        <w:sectPr>
          <w:pgSz w:w="11900" w:h="16838" w:orient="portrait"/>
          <w:cols w:equalWidth="0" w:num="1">
            <w:col w:w="11220"/>
          </w:cols>
          <w:pgMar w:left="320" w:top="999"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Comparator Companies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Due to the Company’s unique business model and the monetization strategy adopted by the Board, the Compensation Committee found it difficult to establish an appropriate group of peer companies for the purposes of evaluating our compensation practices. The Compensation Committee, in consultation with Board Advisory, determined that companies in the pharmaceutical industry remained the most appropriate peers for executive compensation comparison purposes in 2020 because (i) all of our revenues, income generating assets and products were derived from the healthcare industry and (ii) it is the sector from which we primarily drew our existing management. To that end, the Compensation Committee directed Board Advisory to analyze companies in the pharmaceutical industry with the same </w:t>
      </w:r>
      <w:r>
        <w:rPr>
          <w:rFonts w:ascii="Arial" w:cs="Arial" w:eastAsia="Arial" w:hAnsi="Arial"/>
          <w:sz w:val="17"/>
          <w:szCs w:val="17"/>
          <w:i w:val="1"/>
          <w:iCs w:val="1"/>
          <w:color w:val="auto"/>
        </w:rPr>
        <w:t>Global Industry Classification Standard</w:t>
      </w:r>
      <w:r>
        <w:rPr>
          <w:rFonts w:ascii="Arial" w:cs="Arial" w:eastAsia="Arial" w:hAnsi="Arial"/>
          <w:sz w:val="17"/>
          <w:szCs w:val="17"/>
          <w:color w:val="auto"/>
        </w:rPr>
        <w:t xml:space="preserve"> code, or GICS code, and revenues between 0.4x and 2.5x the Company’s annual revenue, or between $56 million to $350 million, and in particular comparable small, profitable pharmaceutical companies, to recommend a peer group for purposes of analyzing the Company’s compensation practices.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list of comparator companies is reviewed and updated annually as the previous year’s companies may no longer fit the most appropriate parameters for the Company. The list of comparator companies was selected based in part on the Company’s size in terms of revenues based on information available to the Compensation Committee in the fall of 2019. The following list of comparator companies for 2020 compensation decisions demonstrates the Compensation Committee’s focus on selecting companies relatively similar in industry sector and size (after taking into account that the Company is unique in its business model and circumstances):</w:t>
      </w:r>
    </w:p>
    <w:p>
      <w:pPr>
        <w:spacing w:after="0" w:line="269"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3720" w:type="dxa"/>
            <w:vAlign w:val="bottom"/>
          </w:tcPr>
          <w:p>
            <w:pPr>
              <w:jc w:val="center"/>
              <w:ind w:right="1250"/>
              <w:spacing w:after="0"/>
              <w:rPr>
                <w:sz w:val="20"/>
                <w:szCs w:val="20"/>
                <w:color w:val="auto"/>
              </w:rPr>
            </w:pPr>
            <w:r>
              <w:rPr>
                <w:rFonts w:ascii="Arial" w:cs="Arial" w:eastAsia="Arial" w:hAnsi="Arial"/>
                <w:sz w:val="18"/>
                <w:szCs w:val="18"/>
                <w:color w:val="auto"/>
                <w:w w:val="90"/>
              </w:rPr>
              <w:t>Amphastar Pharmaceuticals, Inc.</w:t>
            </w:r>
          </w:p>
        </w:tc>
        <w:tc>
          <w:tcPr>
            <w:tcW w:w="3640" w:type="dxa"/>
            <w:vAlign w:val="bottom"/>
          </w:tcPr>
          <w:p>
            <w:pPr>
              <w:jc w:val="center"/>
              <w:ind w:left="1250"/>
              <w:spacing w:after="0"/>
              <w:rPr>
                <w:sz w:val="20"/>
                <w:szCs w:val="20"/>
                <w:color w:val="auto"/>
              </w:rPr>
            </w:pPr>
            <w:r>
              <w:rPr>
                <w:rFonts w:ascii="Arial" w:cs="Arial" w:eastAsia="Arial" w:hAnsi="Arial"/>
                <w:sz w:val="18"/>
                <w:szCs w:val="18"/>
                <w:color w:val="auto"/>
                <w:w w:val="91"/>
              </w:rPr>
              <w:t>Ironwood Pharmaceuticals, Inc.</w:t>
            </w:r>
          </w:p>
        </w:tc>
      </w:tr>
      <w:tr>
        <w:trPr>
          <w:trHeight w:val="256"/>
        </w:trPr>
        <w:tc>
          <w:tcPr>
            <w:tcW w:w="3720" w:type="dxa"/>
            <w:vAlign w:val="bottom"/>
          </w:tcPr>
          <w:p>
            <w:pPr>
              <w:jc w:val="center"/>
              <w:ind w:right="1250"/>
              <w:spacing w:after="0"/>
              <w:rPr>
                <w:sz w:val="20"/>
                <w:szCs w:val="20"/>
                <w:color w:val="auto"/>
              </w:rPr>
            </w:pPr>
            <w:r>
              <w:rPr>
                <w:rFonts w:ascii="Arial" w:cs="Arial" w:eastAsia="Arial" w:hAnsi="Arial"/>
                <w:sz w:val="18"/>
                <w:szCs w:val="18"/>
                <w:color w:val="auto"/>
                <w:w w:val="91"/>
              </w:rPr>
              <w:t>ANI Pharmaceuticals, Inc.</w:t>
            </w:r>
          </w:p>
        </w:tc>
        <w:tc>
          <w:tcPr>
            <w:tcW w:w="3640" w:type="dxa"/>
            <w:vAlign w:val="bottom"/>
          </w:tcPr>
          <w:p>
            <w:pPr>
              <w:jc w:val="center"/>
              <w:ind w:left="1250"/>
              <w:spacing w:after="0"/>
              <w:rPr>
                <w:sz w:val="20"/>
                <w:szCs w:val="20"/>
                <w:color w:val="auto"/>
              </w:rPr>
            </w:pPr>
            <w:r>
              <w:rPr>
                <w:rFonts w:ascii="Arial" w:cs="Arial" w:eastAsia="Arial" w:hAnsi="Arial"/>
                <w:sz w:val="18"/>
                <w:szCs w:val="18"/>
                <w:color w:val="auto"/>
                <w:w w:val="91"/>
              </w:rPr>
              <w:t>Ligand Pharmaceuticals Inc.</w:t>
            </w:r>
          </w:p>
        </w:tc>
      </w:tr>
      <w:tr>
        <w:trPr>
          <w:trHeight w:val="257"/>
        </w:trPr>
        <w:tc>
          <w:tcPr>
            <w:tcW w:w="3720" w:type="dxa"/>
            <w:vAlign w:val="bottom"/>
          </w:tcPr>
          <w:p>
            <w:pPr>
              <w:jc w:val="center"/>
              <w:ind w:right="1230"/>
              <w:spacing w:after="0"/>
              <w:rPr>
                <w:sz w:val="20"/>
                <w:szCs w:val="20"/>
                <w:color w:val="auto"/>
              </w:rPr>
            </w:pPr>
            <w:r>
              <w:rPr>
                <w:rFonts w:ascii="Arial" w:cs="Arial" w:eastAsia="Arial" w:hAnsi="Arial"/>
                <w:sz w:val="18"/>
                <w:szCs w:val="18"/>
                <w:color w:val="auto"/>
                <w:w w:val="90"/>
              </w:rPr>
              <w:t>Avadel Pharmaceuticals plc</w:t>
            </w:r>
          </w:p>
        </w:tc>
        <w:tc>
          <w:tcPr>
            <w:tcW w:w="3640" w:type="dxa"/>
            <w:vAlign w:val="bottom"/>
          </w:tcPr>
          <w:p>
            <w:pPr>
              <w:jc w:val="center"/>
              <w:ind w:left="1250"/>
              <w:spacing w:after="0"/>
              <w:rPr>
                <w:sz w:val="20"/>
                <w:szCs w:val="20"/>
                <w:color w:val="auto"/>
              </w:rPr>
            </w:pPr>
            <w:r>
              <w:rPr>
                <w:rFonts w:ascii="Arial" w:cs="Arial" w:eastAsia="Arial" w:hAnsi="Arial"/>
                <w:sz w:val="18"/>
                <w:szCs w:val="18"/>
                <w:color w:val="auto"/>
                <w:w w:val="90"/>
              </w:rPr>
              <w:t>Osmotica Pharmaceuticals plc</w:t>
            </w:r>
          </w:p>
        </w:tc>
      </w:tr>
      <w:tr>
        <w:trPr>
          <w:trHeight w:val="257"/>
        </w:trPr>
        <w:tc>
          <w:tcPr>
            <w:tcW w:w="3720" w:type="dxa"/>
            <w:vAlign w:val="bottom"/>
          </w:tcPr>
          <w:p>
            <w:pPr>
              <w:jc w:val="center"/>
              <w:ind w:right="1230"/>
              <w:spacing w:after="0"/>
              <w:rPr>
                <w:sz w:val="20"/>
                <w:szCs w:val="20"/>
                <w:color w:val="auto"/>
              </w:rPr>
            </w:pPr>
            <w:r>
              <w:rPr>
                <w:rFonts w:ascii="Arial" w:cs="Arial" w:eastAsia="Arial" w:hAnsi="Arial"/>
                <w:sz w:val="18"/>
                <w:szCs w:val="18"/>
                <w:color w:val="auto"/>
                <w:w w:val="91"/>
              </w:rPr>
              <w:t>Collegium Pharmaceutical, Inc.</w:t>
            </w:r>
          </w:p>
        </w:tc>
        <w:tc>
          <w:tcPr>
            <w:tcW w:w="3640" w:type="dxa"/>
            <w:vAlign w:val="bottom"/>
          </w:tcPr>
          <w:p>
            <w:pPr>
              <w:jc w:val="center"/>
              <w:ind w:left="1250"/>
              <w:spacing w:after="0"/>
              <w:rPr>
                <w:sz w:val="20"/>
                <w:szCs w:val="20"/>
                <w:color w:val="auto"/>
              </w:rPr>
            </w:pPr>
            <w:r>
              <w:rPr>
                <w:rFonts w:ascii="Arial" w:cs="Arial" w:eastAsia="Arial" w:hAnsi="Arial"/>
                <w:sz w:val="18"/>
                <w:szCs w:val="18"/>
                <w:color w:val="auto"/>
                <w:w w:val="89"/>
              </w:rPr>
              <w:t>Pacira BioSciences, Inc.</w:t>
            </w:r>
          </w:p>
        </w:tc>
      </w:tr>
      <w:tr>
        <w:trPr>
          <w:trHeight w:val="257"/>
        </w:trPr>
        <w:tc>
          <w:tcPr>
            <w:tcW w:w="3720" w:type="dxa"/>
            <w:vAlign w:val="bottom"/>
          </w:tcPr>
          <w:p>
            <w:pPr>
              <w:jc w:val="center"/>
              <w:ind w:right="1250"/>
              <w:spacing w:after="0"/>
              <w:rPr>
                <w:sz w:val="20"/>
                <w:szCs w:val="20"/>
                <w:color w:val="auto"/>
              </w:rPr>
            </w:pPr>
            <w:r>
              <w:rPr>
                <w:rFonts w:ascii="Arial" w:cs="Arial" w:eastAsia="Arial" w:hAnsi="Arial"/>
                <w:sz w:val="18"/>
                <w:szCs w:val="18"/>
                <w:color w:val="auto"/>
                <w:w w:val="89"/>
              </w:rPr>
              <w:t>Corcept Therapeutics, Inc.</w:t>
            </w:r>
          </w:p>
        </w:tc>
        <w:tc>
          <w:tcPr>
            <w:tcW w:w="3640" w:type="dxa"/>
            <w:vAlign w:val="bottom"/>
          </w:tcPr>
          <w:p>
            <w:pPr>
              <w:jc w:val="center"/>
              <w:ind w:left="1250"/>
              <w:spacing w:after="0"/>
              <w:rPr>
                <w:sz w:val="20"/>
                <w:szCs w:val="20"/>
                <w:color w:val="auto"/>
              </w:rPr>
            </w:pPr>
            <w:r>
              <w:rPr>
                <w:rFonts w:ascii="Arial" w:cs="Arial" w:eastAsia="Arial" w:hAnsi="Arial"/>
                <w:sz w:val="18"/>
                <w:szCs w:val="18"/>
                <w:color w:val="auto"/>
                <w:w w:val="93"/>
              </w:rPr>
              <w:t>Retrophin, Inc.</w:t>
            </w:r>
          </w:p>
        </w:tc>
      </w:tr>
      <w:tr>
        <w:trPr>
          <w:trHeight w:val="257"/>
        </w:trPr>
        <w:tc>
          <w:tcPr>
            <w:tcW w:w="3720" w:type="dxa"/>
            <w:vAlign w:val="bottom"/>
          </w:tcPr>
          <w:p>
            <w:pPr>
              <w:jc w:val="center"/>
              <w:ind w:right="1230"/>
              <w:spacing w:after="0"/>
              <w:rPr>
                <w:sz w:val="20"/>
                <w:szCs w:val="20"/>
                <w:color w:val="auto"/>
              </w:rPr>
            </w:pPr>
            <w:r>
              <w:rPr>
                <w:rFonts w:ascii="Arial" w:cs="Arial" w:eastAsia="Arial" w:hAnsi="Arial"/>
                <w:sz w:val="18"/>
                <w:szCs w:val="18"/>
                <w:color w:val="auto"/>
                <w:w w:val="89"/>
              </w:rPr>
              <w:t>Eagle Pharmaceuticals, Inc.</w:t>
            </w:r>
          </w:p>
        </w:tc>
        <w:tc>
          <w:tcPr>
            <w:tcW w:w="3640" w:type="dxa"/>
            <w:vAlign w:val="bottom"/>
          </w:tcPr>
          <w:p>
            <w:pPr>
              <w:jc w:val="center"/>
              <w:ind w:left="1230"/>
              <w:spacing w:after="0"/>
              <w:rPr>
                <w:sz w:val="20"/>
                <w:szCs w:val="20"/>
                <w:color w:val="auto"/>
              </w:rPr>
            </w:pPr>
            <w:r>
              <w:rPr>
                <w:rFonts w:ascii="Arial" w:cs="Arial" w:eastAsia="Arial" w:hAnsi="Arial"/>
                <w:sz w:val="18"/>
                <w:szCs w:val="18"/>
                <w:color w:val="auto"/>
                <w:w w:val="89"/>
              </w:rPr>
              <w:t>Spectrum Pharmaceuticals, Inc.</w:t>
            </w:r>
          </w:p>
        </w:tc>
      </w:tr>
      <w:tr>
        <w:trPr>
          <w:trHeight w:val="256"/>
        </w:trPr>
        <w:tc>
          <w:tcPr>
            <w:tcW w:w="3720" w:type="dxa"/>
            <w:vAlign w:val="bottom"/>
          </w:tcPr>
          <w:p>
            <w:pPr>
              <w:jc w:val="center"/>
              <w:ind w:right="1230"/>
              <w:spacing w:after="0"/>
              <w:rPr>
                <w:sz w:val="20"/>
                <w:szCs w:val="20"/>
                <w:color w:val="auto"/>
              </w:rPr>
            </w:pPr>
            <w:r>
              <w:rPr>
                <w:rFonts w:ascii="Arial" w:cs="Arial" w:eastAsia="Arial" w:hAnsi="Arial"/>
                <w:sz w:val="18"/>
                <w:szCs w:val="18"/>
                <w:color w:val="auto"/>
                <w:w w:val="91"/>
              </w:rPr>
              <w:t>Halozyme Therapeutics, Inc.</w:t>
            </w:r>
          </w:p>
        </w:tc>
        <w:tc>
          <w:tcPr>
            <w:tcW w:w="3640" w:type="dxa"/>
            <w:vAlign w:val="bottom"/>
          </w:tcPr>
          <w:p>
            <w:pPr>
              <w:jc w:val="center"/>
              <w:ind w:left="1250"/>
              <w:spacing w:after="0"/>
              <w:rPr>
                <w:sz w:val="20"/>
                <w:szCs w:val="20"/>
                <w:color w:val="auto"/>
              </w:rPr>
            </w:pPr>
            <w:r>
              <w:rPr>
                <w:rFonts w:ascii="Arial" w:cs="Arial" w:eastAsia="Arial" w:hAnsi="Arial"/>
                <w:sz w:val="18"/>
                <w:szCs w:val="18"/>
                <w:color w:val="auto"/>
                <w:w w:val="88"/>
              </w:rPr>
              <w:t>Supernus Pharmaceuticals, Inc.</w:t>
            </w:r>
          </w:p>
        </w:tc>
      </w:tr>
      <w:tr>
        <w:trPr>
          <w:trHeight w:val="256"/>
        </w:trPr>
        <w:tc>
          <w:tcPr>
            <w:tcW w:w="3720" w:type="dxa"/>
            <w:vAlign w:val="bottom"/>
          </w:tcPr>
          <w:p>
            <w:pPr>
              <w:jc w:val="center"/>
              <w:ind w:right="1230"/>
              <w:spacing w:after="0"/>
              <w:rPr>
                <w:sz w:val="20"/>
                <w:szCs w:val="20"/>
                <w:color w:val="auto"/>
              </w:rPr>
            </w:pPr>
            <w:r>
              <w:rPr>
                <w:rFonts w:ascii="Arial" w:cs="Arial" w:eastAsia="Arial" w:hAnsi="Arial"/>
                <w:sz w:val="18"/>
                <w:szCs w:val="18"/>
                <w:color w:val="auto"/>
                <w:w w:val="94"/>
              </w:rPr>
              <w:t>Innoviva, Inc.</w:t>
            </w:r>
          </w:p>
        </w:tc>
        <w:tc>
          <w:tcPr>
            <w:tcW w:w="3640" w:type="dxa"/>
            <w:vAlign w:val="bottom"/>
          </w:tcPr>
          <w:p>
            <w:pPr>
              <w:jc w:val="center"/>
              <w:ind w:left="1250"/>
              <w:spacing w:after="0"/>
              <w:rPr>
                <w:sz w:val="20"/>
                <w:szCs w:val="20"/>
                <w:color w:val="auto"/>
              </w:rPr>
            </w:pPr>
            <w:r>
              <w:rPr>
                <w:rFonts w:ascii="Arial" w:cs="Arial" w:eastAsia="Arial" w:hAnsi="Arial"/>
                <w:sz w:val="18"/>
                <w:szCs w:val="18"/>
                <w:color w:val="auto"/>
                <w:w w:val="91"/>
              </w:rPr>
              <w:t>Teligent, Inc.</w:t>
            </w:r>
          </w:p>
        </w:tc>
      </w:tr>
      <w:tr>
        <w:trPr>
          <w:trHeight w:val="257"/>
        </w:trPr>
        <w:tc>
          <w:tcPr>
            <w:tcW w:w="3720" w:type="dxa"/>
            <w:vAlign w:val="bottom"/>
          </w:tcPr>
          <w:p>
            <w:pPr>
              <w:jc w:val="center"/>
              <w:ind w:right="1230"/>
              <w:spacing w:after="0"/>
              <w:rPr>
                <w:sz w:val="20"/>
                <w:szCs w:val="20"/>
                <w:color w:val="auto"/>
              </w:rPr>
            </w:pPr>
            <w:r>
              <w:rPr>
                <w:rFonts w:ascii="Arial" w:cs="Arial" w:eastAsia="Arial" w:hAnsi="Arial"/>
                <w:sz w:val="18"/>
                <w:szCs w:val="18"/>
                <w:color w:val="auto"/>
                <w:w w:val="91"/>
              </w:rPr>
              <w:t>Intersect ENT, Inc.</w:t>
            </w:r>
          </w:p>
        </w:tc>
        <w:tc>
          <w:tcPr>
            <w:tcW w:w="3640" w:type="dxa"/>
            <w:vAlign w:val="bottom"/>
          </w:tcPr>
          <w:p>
            <w:pPr>
              <w:jc w:val="center"/>
              <w:ind w:left="1250"/>
              <w:spacing w:after="0"/>
              <w:rPr>
                <w:sz w:val="20"/>
                <w:szCs w:val="20"/>
                <w:color w:val="auto"/>
              </w:rPr>
            </w:pPr>
            <w:r>
              <w:rPr>
                <w:rFonts w:ascii="Arial" w:cs="Arial" w:eastAsia="Arial" w:hAnsi="Arial"/>
                <w:sz w:val="18"/>
                <w:szCs w:val="18"/>
                <w:color w:val="auto"/>
                <w:w w:val="88"/>
              </w:rPr>
              <w:t>Vanda Pharmaceuticals Inc.</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 Data</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year, Board Advisory surveys the compensation practices of the comparator companies to assess the competitiveness of our compensation programs. Although we maintain the peer group for executive compensation and performance reference purposes, the comparator company compensation data is limited to publicly available information and therefore does not necessarily provide comparisons for all officers. By contrast, survey data has the advantage of including data on executive positions beyond what is available in public filings but may not be specific to the selected companies in the peer group. In light of this, Board Advisory analyzed (i) the compensation levels of the comparator companies referenced above and (ii) the 2019 Radford Global Life Sciences Survey for biotechnology companies with annual revenues in a range between $50 million and less than $499 million (the “2019 Radford Compensation Survey”). With respect to the survey data presented to the Compensation Committee, the identities of the individual companies included in the survey were not provided to the Compensation Committee, and the Compensation Committee did not refer to individual compensation information for such companies.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by utilizing both publicly available comparator company data and the survey data, we are able to develop the best set of robust competitive data reasonably available for use in making compensation decisions. The Compensation Committee, when making compensation adjustments to the named executive officers, reviews the publicly available comparator company group data and the survey data to ensure that, following any compensation adjustment, the total compensation of named executive officers falls within our guidelines.</w:t>
      </w:r>
    </w:p>
    <w:p>
      <w:pPr>
        <w:spacing w:after="0" w:line="21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Compensation Committee uses the 50th percentile of comparator companies as a benchmark, or starting point, for decisions regarding target total direct compensation (comprised of base salary, annual bonus opportunity and long-term incentive opportunity) of the Company’s executive officers. However, in order to attract and retain the executive talent necessary to lead the Company, the Compensation Committee does not establish compensation levels based solely on benchmarking. The Compensation Committee instead relies on the judgment of its members in making compensation decisions regarding base salaries, target bonus levels and long-term equity incentive awards after reviewing our performance and carefully evaluating each named executive officer’s performance during the year, leadership qualities, business responsibilities, career with our Company,</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8" w:right="379" w:bottom="1440" w:gutter="0" w:footer="0" w:header="0"/>
        </w:sectPr>
      </w:pPr>
    </w:p>
    <w:bookmarkStart w:id="116" w:name="page117"/>
    <w:bookmarkEnd w:id="116"/>
    <w:p>
      <w:pPr>
        <w:ind w:right="480"/>
        <w:spacing w:after="0" w:line="277" w:lineRule="auto"/>
        <w:rPr>
          <w:sz w:val="20"/>
          <w:szCs w:val="20"/>
          <w:color w:val="auto"/>
        </w:rPr>
      </w:pPr>
      <w:r>
        <w:rPr>
          <w:rFonts w:ascii="Arial" w:cs="Arial" w:eastAsia="Arial" w:hAnsi="Arial"/>
          <w:sz w:val="18"/>
          <w:szCs w:val="18"/>
          <w:color w:val="auto"/>
        </w:rPr>
        <w:t>current compensation arrangements and long-term potential to enhance stockholder value. The Compensation Committee does not guarantee that any executive will receive a specific market-derived compensation level.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Qualifications and Unique Company Existence</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to analyzing market compensation and performance data, the Compensation Committee considers each individual’s qualifications, experience and contribution to the Company when making compensation decisions, as well as our unique business model and the difficulty in locating experienced and qualified executive officer candidates willing to relocate to the remote area surrounding our headquarters. The only named executive officer not required to be located proximate to our headquarters in Nevada was our former Vice President of Business Development whose responsibilities include extensive travels and is domiciled in the San Francisco Bay Area, close to key stakeholders and potential target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Delegation of Compensation Decisions</w:t>
      </w:r>
    </w:p>
    <w:p>
      <w:pPr>
        <w:spacing w:after="0" w:line="25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Compensation Committee has not delegated any of its exclusive power to determine matters of executive compensation and benefits. Our chief executive officer and an independent compensation consultant assist the Compensation Committee by presenting proposals and recommendations to the Compensation Committee, information on the Company and individual performance of our named executive officers and management’s perspective and recommendations on compensation matters (our chief executive officer recuses himself from that portion of the Compensation Committee meetings involving deliberation and decision-making pertaining to his own compensation). The Compensation Committee reports to the Board on the major items covered at each Compensation Committee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Elements</w:t>
      </w:r>
    </w:p>
    <w:p>
      <w:pPr>
        <w:spacing w:after="0" w:line="256"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In 2020, the annual compensation payable to our named executive officers was comprised of five primary elements which were designed together to motivate our named executive officers to achieve our strategic goals. These five elements were: (i) base salary, (ii) annual cash bonus, (iii) long-term incentive compensation, (iv) wind-down retention benefits, and (v) employee benefits.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provide other limited perquisites and benefits, but such perquisites and benefits are generally available to all of our employees on the same terms as to our named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Each element, and why we pay it, is discussed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 salary is the fundamental, fixed element of our named executive officers’ compensation and the foundation for each named executive officer’s total compensation.</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 salaries are reviewed annually and may be adjusted by the Compensation Committee to take into account the individual performance of the named executive officer as well as that of the Company as a whole.</w:t>
      </w:r>
    </w:p>
    <w:p>
      <w:pPr>
        <w:spacing w:after="0" w:line="19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fiscal year 2020, the Compensation Committee reviewed the base salary and performance of each of our named executive officers, the performance of the Company and Board Advisory’s analysis and summary of the market practice of the comparator companies. Based on this review, the Compensation Committee determined to increase the base salary of the named executive officers by 2.5% for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2020 base salaries for our named executive officers are set forth in the table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 Increase or</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Decrease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from 2019</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Base Salary</w:t>
            </w:r>
          </w:p>
        </w:tc>
        <w:tc>
          <w:tcPr>
            <w:tcW w:w="3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0" w:type="dxa"/>
            <w:vAlign w:val="bottom"/>
          </w:tcPr>
          <w:p>
            <w:pPr>
              <w:spacing w:after="0"/>
              <w:rPr>
                <w:sz w:val="1"/>
                <w:szCs w:val="1"/>
                <w:color w:val="auto"/>
              </w:rPr>
            </w:pPr>
          </w:p>
        </w:tc>
      </w:tr>
      <w:tr>
        <w:trPr>
          <w:trHeight w:val="25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Dominique Monnet</w:t>
            </w: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650,875</w:t>
            </w: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Christopher Stone</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Vice President, General Counsel and Secretary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509,927</w:t>
            </w:r>
          </w:p>
        </w:tc>
        <w:tc>
          <w:tcPr>
            <w:tcW w:w="340" w:type="dxa"/>
            <w:vAlign w:val="bottom"/>
            <w:vMerge w:val="restart"/>
          </w:tcPr>
          <w:p>
            <w:pPr>
              <w:jc w:val="right"/>
              <w:ind w:right="122"/>
              <w:spacing w:after="0"/>
              <w:rPr>
                <w:sz w:val="20"/>
                <w:szCs w:val="20"/>
                <w:color w:val="auto"/>
              </w:rPr>
            </w:pPr>
            <w:r>
              <w:rPr>
                <w:rFonts w:ascii="Arial" w:cs="Arial" w:eastAsia="Arial" w:hAnsi="Arial"/>
                <w:sz w:val="12"/>
                <w:szCs w:val="12"/>
                <w:color w:val="auto"/>
                <w:w w:val="95"/>
              </w:rPr>
              <w:t>(1)</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56"/>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Dr. Jill Jene</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Former Vice President, Business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358,955</w:t>
            </w:r>
          </w:p>
        </w:tc>
        <w:tc>
          <w:tcPr>
            <w:tcW w:w="34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Edward Imbrogno</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Vice President, Chief Financial Officer and Chief Accounting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354,650</w:t>
            </w:r>
          </w:p>
        </w:tc>
        <w:tc>
          <w:tcPr>
            <w:tcW w:w="3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_____________________</w:t>
      </w:r>
    </w:p>
    <w:p>
      <w:pPr>
        <w:spacing w:after="0" w:line="40" w:lineRule="exact"/>
        <w:rPr>
          <w:sz w:val="20"/>
          <w:szCs w:val="20"/>
          <w:color w:val="auto"/>
        </w:rPr>
      </w:pPr>
    </w:p>
    <w:p>
      <w:pPr>
        <w:ind w:left="840" w:hanging="184"/>
        <w:spacing w:after="0"/>
        <w:tabs>
          <w:tab w:leader="none" w:pos="840" w:val="left"/>
        </w:tabs>
        <w:numPr>
          <w:ilvl w:val="0"/>
          <w:numId w:val="53"/>
        </w:numPr>
        <w:rPr>
          <w:rFonts w:ascii="Arial" w:cs="Arial" w:eastAsia="Arial" w:hAnsi="Arial"/>
          <w:sz w:val="22"/>
          <w:szCs w:val="22"/>
          <w:color w:val="auto"/>
          <w:vertAlign w:val="superscript"/>
        </w:rPr>
      </w:pPr>
      <w:r>
        <w:rPr>
          <w:rFonts w:ascii="Arial" w:cs="Arial" w:eastAsia="Arial" w:hAnsi="Arial"/>
          <w:sz w:val="17"/>
          <w:szCs w:val="17"/>
          <w:color w:val="auto"/>
        </w:rPr>
        <w:t>Dr. Jene separated from the Company, effective August 15,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second component of our named executive officers’ total compensation is the annual cash bonus.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2020 Annual Bonus Evaluation</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fiscal year 2020, the Compensation Committee established the 2020 Annual Bonus Plan. The 2020 Annual Bonus Plan is comprised of cash compensation that is entirely at risk, depending on performance. In the event of underperformance, the Compensation Committee may elect to award no bonus. In the event of performance that exceeds the Compensation Committee’s performance expectations, the bonus amount is capped at a maximum of 200% of the target amount.</w:t>
      </w:r>
    </w:p>
    <w:p>
      <w:pPr>
        <w:spacing w:after="0" w:line="21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 part of the 2020 Annual Bonus Plan, the Compensation Committee reviewed, and recommended to the Board for approval, the Company’s corporate goals for 2020 that would be measured in determining the bonuses of our named executive officers for fiscal year 2020.</w:t>
      </w:r>
    </w:p>
    <w:p>
      <w:pPr>
        <w:spacing w:after="0" w:line="1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Given the monetization strategy adopted by our Board in late 2019 and the importance of maximizing net proceeds from the strategy that could be distributed to our stockholders, for 2020, the Compensation Committee determined to eliminate the individual performance goals for our named executive officers, making 100% of the payments under the 2020 Annual Bonus plan subject to achievement of corporate goals.</w:t>
      </w:r>
    </w:p>
    <w:p>
      <w:pPr>
        <w:spacing w:after="0" w:line="19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In connection with the annual cash bonus, the Compensation Committee reviewed the target bonus (as a percentage of base salary) of each named executive officer and Board Advisory’s analysis and summary of the market practice of the comparator companies.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target and maximum bonus (as a percentage of base salary) and the ratio of corporate to individual goals for each named executive officer are set forth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1"/>
              </w:rPr>
              <w:t>2019 Target</w:t>
            </w:r>
          </w:p>
        </w:tc>
        <w:tc>
          <w:tcPr>
            <w:tcW w:w="13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89"/>
              </w:rPr>
              <w:t>2020 Target</w:t>
            </w: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Maximum</w:t>
            </w:r>
          </w:p>
        </w:tc>
      </w:tr>
      <w:tr>
        <w:trPr>
          <w:trHeight w:val="241"/>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Bonus</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Bonus</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Bonus</w:t>
            </w:r>
          </w:p>
        </w:tc>
      </w:tr>
      <w:tr>
        <w:trPr>
          <w:trHeight w:val="256"/>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Dominique Monnet</w:t>
            </w:r>
          </w:p>
        </w:tc>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80%</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160%</w:t>
            </w:r>
          </w:p>
        </w:tc>
      </w:tr>
      <w:tr>
        <w:trPr>
          <w:trHeight w:val="250"/>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Christopher Stone</w:t>
            </w: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Vice President, General Counsel and Secretary</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150%</w:t>
            </w:r>
          </w:p>
        </w:tc>
      </w:tr>
      <w:tr>
        <w:trPr>
          <w:trHeight w:val="263"/>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Jill Jene</w:t>
            </w:r>
          </w:p>
        </w:tc>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Former Vice President, Business Development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15"/>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Edward Imbrogno</w:t>
            </w: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Vice President, Chief Financial Officer and Chief Accounting</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150%</w:t>
            </w:r>
          </w:p>
        </w:tc>
      </w:tr>
      <w:tr>
        <w:trPr>
          <w:trHeight w:val="230"/>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Goals</w:t>
      </w:r>
    </w:p>
    <w:p>
      <w:pPr>
        <w:spacing w:after="0" w:line="252"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For 2020, the Compensation Committee determined the corporate goals should be aligned with our monetization strategy and Plan of Liquidation. To that end, the Compensation Committee developed the corporate goals keeping in mind the two most likely outcomes of the monetization strategy -- either the monetization of individual assets or the sale of the entire company that would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10300" w:type="dxa"/>
            <w:vAlign w:val="bottom"/>
          </w:tcPr>
          <w:p>
            <w:pPr>
              <w:spacing w:after="0"/>
              <w:rPr>
                <w:sz w:val="20"/>
                <w:szCs w:val="20"/>
                <w:color w:val="auto"/>
              </w:rPr>
            </w:pPr>
            <w:r>
              <w:rPr>
                <w:rFonts w:ascii="Arial" w:cs="Arial" w:eastAsia="Arial" w:hAnsi="Arial"/>
                <w:sz w:val="18"/>
                <w:szCs w:val="18"/>
                <w:color w:val="auto"/>
                <w:w w:val="95"/>
              </w:rPr>
              <w:t>be approved by our stockholders. Our corporate goals for 2020 and the relative weight ascribed to them are set forth in the table below:</w:t>
            </w:r>
          </w:p>
        </w:tc>
        <w:tc>
          <w:tcPr>
            <w:tcW w:w="940" w:type="dxa"/>
            <w:vAlign w:val="bottom"/>
          </w:tcPr>
          <w:p>
            <w:pPr>
              <w:spacing w:after="0"/>
              <w:rPr>
                <w:sz w:val="20"/>
                <w:szCs w:val="20"/>
                <w:color w:val="auto"/>
              </w:rPr>
            </w:pPr>
          </w:p>
        </w:tc>
      </w:tr>
      <w:tr>
        <w:trPr>
          <w:trHeight w:val="500"/>
        </w:trPr>
        <w:tc>
          <w:tcPr>
            <w:tcW w:w="10300" w:type="dxa"/>
            <w:vAlign w:val="bottom"/>
          </w:tcPr>
          <w:p>
            <w:pPr>
              <w:ind w:left="20"/>
              <w:spacing w:after="0"/>
              <w:rPr>
                <w:sz w:val="20"/>
                <w:szCs w:val="20"/>
                <w:color w:val="auto"/>
              </w:rPr>
            </w:pPr>
            <w:r>
              <w:rPr>
                <w:rFonts w:ascii="Arial" w:cs="Arial" w:eastAsia="Arial" w:hAnsi="Arial"/>
                <w:sz w:val="18"/>
                <w:szCs w:val="18"/>
                <w:b w:val="1"/>
                <w:bCs w:val="1"/>
                <w:color w:val="auto"/>
              </w:rPr>
              <w:t>2020 Corporate Goals</w:t>
            </w:r>
          </w:p>
        </w:tc>
        <w:tc>
          <w:tcPr>
            <w:tcW w:w="940" w:type="dxa"/>
            <w:vAlign w:val="bottom"/>
          </w:tcPr>
          <w:p>
            <w:pPr>
              <w:ind w:left="380"/>
              <w:spacing w:after="0"/>
              <w:rPr>
                <w:sz w:val="20"/>
                <w:szCs w:val="20"/>
                <w:color w:val="auto"/>
              </w:rPr>
            </w:pPr>
            <w:r>
              <w:rPr>
                <w:rFonts w:ascii="Arial" w:cs="Arial" w:eastAsia="Arial" w:hAnsi="Arial"/>
                <w:sz w:val="18"/>
                <w:szCs w:val="18"/>
                <w:b w:val="1"/>
                <w:bCs w:val="1"/>
                <w:color w:val="auto"/>
                <w:w w:val="89"/>
              </w:rPr>
              <w:t>Weight</w:t>
            </w:r>
          </w:p>
        </w:tc>
      </w:tr>
      <w:tr>
        <w:trPr>
          <w:trHeight w:val="263"/>
        </w:trPr>
        <w:tc>
          <w:tcPr>
            <w:tcW w:w="10300" w:type="dxa"/>
            <w:vAlign w:val="bottom"/>
          </w:tcPr>
          <w:p>
            <w:pPr>
              <w:ind w:left="20"/>
              <w:spacing w:after="0"/>
              <w:rPr>
                <w:sz w:val="20"/>
                <w:szCs w:val="20"/>
                <w:color w:val="auto"/>
              </w:rPr>
            </w:pPr>
            <w:r>
              <w:rPr>
                <w:rFonts w:ascii="Arial" w:cs="Arial" w:eastAsia="Arial" w:hAnsi="Arial"/>
                <w:sz w:val="18"/>
                <w:szCs w:val="18"/>
                <w:b w:val="1"/>
                <w:bCs w:val="1"/>
                <w:color w:val="auto"/>
              </w:rPr>
              <w:t>Alternative 1:</w:t>
            </w:r>
          </w:p>
        </w:tc>
        <w:tc>
          <w:tcPr>
            <w:tcW w:w="940" w:type="dxa"/>
            <w:vAlign w:val="bottom"/>
          </w:tcPr>
          <w:p>
            <w:pPr>
              <w:spacing w:after="0"/>
              <w:rPr>
                <w:sz w:val="22"/>
                <w:szCs w:val="22"/>
                <w:color w:val="auto"/>
              </w:rPr>
            </w:pPr>
          </w:p>
        </w:tc>
      </w:tr>
      <w:tr>
        <w:trPr>
          <w:trHeight w:val="263"/>
        </w:trPr>
        <w:tc>
          <w:tcPr>
            <w:tcW w:w="10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Maximize proceeds from asset monetization</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75%</w:t>
            </w:r>
          </w:p>
        </w:tc>
      </w:tr>
      <w:tr>
        <w:trPr>
          <w:trHeight w:val="243"/>
        </w:trPr>
        <w:tc>
          <w:tcPr>
            <w:tcW w:w="10300" w:type="dxa"/>
            <w:vAlign w:val="bottom"/>
          </w:tcPr>
          <w:p>
            <w:pPr>
              <w:ind w:left="920"/>
              <w:spacing w:after="0"/>
              <w:rPr>
                <w:sz w:val="20"/>
                <w:szCs w:val="20"/>
                <w:color w:val="auto"/>
              </w:rPr>
            </w:pPr>
            <w:r>
              <w:rPr>
                <w:rFonts w:ascii="Arial" w:cs="Arial" w:eastAsia="Arial" w:hAnsi="Arial"/>
                <w:sz w:val="18"/>
                <w:szCs w:val="18"/>
                <w:color w:val="auto"/>
              </w:rPr>
              <w:t>Sale of royalty assets</w:t>
            </w:r>
          </w:p>
        </w:tc>
        <w:tc>
          <w:tcPr>
            <w:tcW w:w="940" w:type="dxa"/>
            <w:vAlign w:val="bottom"/>
          </w:tcPr>
          <w:p>
            <w:pPr>
              <w:spacing w:after="0"/>
              <w:rPr>
                <w:sz w:val="21"/>
                <w:szCs w:val="21"/>
                <w:color w:val="auto"/>
              </w:rPr>
            </w:pPr>
          </w:p>
        </w:tc>
      </w:tr>
      <w:tr>
        <w:trPr>
          <w:trHeight w:val="257"/>
        </w:trPr>
        <w:tc>
          <w:tcPr>
            <w:tcW w:w="10300" w:type="dxa"/>
            <w:vAlign w:val="bottom"/>
          </w:tcPr>
          <w:p>
            <w:pPr>
              <w:ind w:left="920"/>
              <w:spacing w:after="0"/>
              <w:rPr>
                <w:sz w:val="20"/>
                <w:szCs w:val="20"/>
                <w:color w:val="auto"/>
              </w:rPr>
            </w:pPr>
            <w:r>
              <w:rPr>
                <w:rFonts w:ascii="Arial" w:cs="Arial" w:eastAsia="Arial" w:hAnsi="Arial"/>
                <w:sz w:val="18"/>
                <w:szCs w:val="18"/>
                <w:color w:val="auto"/>
              </w:rPr>
              <w:t>Monetization of LENSAR</w:t>
            </w:r>
          </w:p>
        </w:tc>
        <w:tc>
          <w:tcPr>
            <w:tcW w:w="940" w:type="dxa"/>
            <w:vAlign w:val="bottom"/>
          </w:tcPr>
          <w:p>
            <w:pPr>
              <w:spacing w:after="0"/>
              <w:rPr>
                <w:sz w:val="22"/>
                <w:szCs w:val="22"/>
                <w:color w:val="auto"/>
              </w:rPr>
            </w:pPr>
          </w:p>
        </w:tc>
      </w:tr>
      <w:tr>
        <w:trPr>
          <w:trHeight w:val="256"/>
        </w:trPr>
        <w:tc>
          <w:tcPr>
            <w:tcW w:w="10300" w:type="dxa"/>
            <w:vAlign w:val="bottom"/>
          </w:tcPr>
          <w:p>
            <w:pPr>
              <w:ind w:left="920"/>
              <w:spacing w:after="0"/>
              <w:rPr>
                <w:sz w:val="20"/>
                <w:szCs w:val="20"/>
                <w:color w:val="auto"/>
              </w:rPr>
            </w:pPr>
            <w:r>
              <w:rPr>
                <w:rFonts w:ascii="Arial" w:cs="Arial" w:eastAsia="Arial" w:hAnsi="Arial"/>
                <w:sz w:val="18"/>
                <w:szCs w:val="18"/>
                <w:color w:val="auto"/>
              </w:rPr>
              <w:t>Monetization of Evofem shares</w:t>
            </w:r>
          </w:p>
        </w:tc>
        <w:tc>
          <w:tcPr>
            <w:tcW w:w="940" w:type="dxa"/>
            <w:vAlign w:val="bottom"/>
          </w:tcPr>
          <w:p>
            <w:pPr>
              <w:spacing w:after="0"/>
              <w:rPr>
                <w:sz w:val="22"/>
                <w:szCs w:val="22"/>
                <w:color w:val="auto"/>
              </w:rPr>
            </w:pPr>
          </w:p>
        </w:tc>
      </w:tr>
      <w:tr>
        <w:trPr>
          <w:trHeight w:val="263"/>
        </w:trPr>
        <w:tc>
          <w:tcPr>
            <w:tcW w:w="10300" w:type="dxa"/>
            <w:vAlign w:val="bottom"/>
          </w:tcPr>
          <w:p>
            <w:pPr>
              <w:ind w:left="920"/>
              <w:spacing w:after="0"/>
              <w:rPr>
                <w:sz w:val="20"/>
                <w:szCs w:val="20"/>
                <w:color w:val="auto"/>
              </w:rPr>
            </w:pPr>
            <w:r>
              <w:rPr>
                <w:rFonts w:ascii="Arial" w:cs="Arial" w:eastAsia="Arial" w:hAnsi="Arial"/>
                <w:sz w:val="18"/>
                <w:szCs w:val="18"/>
                <w:color w:val="auto"/>
              </w:rPr>
              <w:t>Sale of Noden business</w:t>
            </w:r>
          </w:p>
        </w:tc>
        <w:tc>
          <w:tcPr>
            <w:tcW w:w="940" w:type="dxa"/>
            <w:vAlign w:val="bottom"/>
          </w:tcPr>
          <w:p>
            <w:pPr>
              <w:spacing w:after="0"/>
              <w:rPr>
                <w:sz w:val="22"/>
                <w:szCs w:val="22"/>
                <w:color w:val="auto"/>
              </w:rPr>
            </w:pPr>
          </w:p>
        </w:tc>
      </w:tr>
      <w:tr>
        <w:trPr>
          <w:trHeight w:val="263"/>
        </w:trPr>
        <w:tc>
          <w:tcPr>
            <w:tcW w:w="10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Execute monetization in a cost and tax efficient manner</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w:t>
            </w:r>
          </w:p>
        </w:tc>
      </w:tr>
      <w:tr>
        <w:trPr>
          <w:trHeight w:val="243"/>
        </w:trPr>
        <w:tc>
          <w:tcPr>
            <w:tcW w:w="10300" w:type="dxa"/>
            <w:vAlign w:val="bottom"/>
          </w:tcPr>
          <w:p>
            <w:pPr>
              <w:ind w:left="920"/>
              <w:spacing w:after="0"/>
              <w:rPr>
                <w:sz w:val="20"/>
                <w:szCs w:val="20"/>
                <w:color w:val="auto"/>
              </w:rPr>
            </w:pPr>
            <w:r>
              <w:rPr>
                <w:rFonts w:ascii="Arial" w:cs="Arial" w:eastAsia="Arial" w:hAnsi="Arial"/>
                <w:sz w:val="18"/>
                <w:szCs w:val="18"/>
                <w:color w:val="auto"/>
              </w:rPr>
              <w:t>Finalize Plan of Liquidation to enable tax efficient dividend distributions</w:t>
            </w:r>
          </w:p>
        </w:tc>
        <w:tc>
          <w:tcPr>
            <w:tcW w:w="940" w:type="dxa"/>
            <w:vAlign w:val="bottom"/>
          </w:tcPr>
          <w:p>
            <w:pPr>
              <w:spacing w:after="0"/>
              <w:rPr>
                <w:sz w:val="21"/>
                <w:szCs w:val="21"/>
                <w:color w:val="auto"/>
              </w:rPr>
            </w:pPr>
          </w:p>
        </w:tc>
      </w:tr>
      <w:tr>
        <w:trPr>
          <w:trHeight w:val="263"/>
        </w:trPr>
        <w:tc>
          <w:tcPr>
            <w:tcW w:w="10300" w:type="dxa"/>
            <w:vAlign w:val="bottom"/>
          </w:tcPr>
          <w:p>
            <w:pPr>
              <w:ind w:left="920"/>
              <w:spacing w:after="0"/>
              <w:rPr>
                <w:sz w:val="20"/>
                <w:szCs w:val="20"/>
                <w:color w:val="auto"/>
              </w:rPr>
            </w:pPr>
            <w:r>
              <w:rPr>
                <w:rFonts w:ascii="Arial" w:cs="Arial" w:eastAsia="Arial" w:hAnsi="Arial"/>
                <w:sz w:val="18"/>
                <w:szCs w:val="18"/>
                <w:color w:val="auto"/>
              </w:rPr>
              <w:t>Control expenses not to exceed 2020 G&amp;A budget</w:t>
            </w:r>
          </w:p>
        </w:tc>
        <w:tc>
          <w:tcPr>
            <w:tcW w:w="940" w:type="dxa"/>
            <w:vAlign w:val="bottom"/>
          </w:tcPr>
          <w:p>
            <w:pPr>
              <w:spacing w:after="0"/>
              <w:rPr>
                <w:sz w:val="22"/>
                <w:szCs w:val="22"/>
                <w:color w:val="auto"/>
              </w:rPr>
            </w:pPr>
          </w:p>
        </w:tc>
      </w:tr>
      <w:tr>
        <w:trPr>
          <w:trHeight w:val="222"/>
        </w:trPr>
        <w:tc>
          <w:tcPr>
            <w:tcW w:w="10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Complete monetization of key assets (royalties, LENSAR, Evofem shares, Noden) by December 31, 2020 and/or be in position to file for</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15%</w:t>
            </w:r>
          </w:p>
        </w:tc>
      </w:tr>
      <w:tr>
        <w:trPr>
          <w:trHeight w:val="244"/>
        </w:trPr>
        <w:tc>
          <w:tcPr>
            <w:tcW w:w="10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dissolution by year end</w:t>
            </w:r>
          </w:p>
        </w:tc>
        <w:tc>
          <w:tcPr>
            <w:tcW w:w="940" w:type="dxa"/>
            <w:vAlign w:val="bottom"/>
            <w:shd w:val="clear" w:color="auto" w:fill="CCEEFF"/>
          </w:tcPr>
          <w:p>
            <w:pPr>
              <w:spacing w:after="0"/>
              <w:rPr>
                <w:sz w:val="21"/>
                <w:szCs w:val="21"/>
                <w:color w:val="auto"/>
              </w:rPr>
            </w:pPr>
          </w:p>
        </w:tc>
      </w:tr>
      <w:tr>
        <w:trPr>
          <w:trHeight w:val="230"/>
        </w:trPr>
        <w:tc>
          <w:tcPr>
            <w:tcW w:w="10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6"/>
        </w:trPr>
        <w:tc>
          <w:tcPr>
            <w:tcW w:w="10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100%</w:t>
            </w:r>
          </w:p>
        </w:tc>
      </w:tr>
      <w:tr>
        <w:trPr>
          <w:trHeight w:val="473"/>
        </w:trPr>
        <w:tc>
          <w:tcPr>
            <w:tcW w:w="10300" w:type="dxa"/>
            <w:vAlign w:val="bottom"/>
          </w:tcPr>
          <w:p>
            <w:pPr>
              <w:ind w:left="20"/>
              <w:spacing w:after="0"/>
              <w:rPr>
                <w:sz w:val="20"/>
                <w:szCs w:val="20"/>
                <w:color w:val="auto"/>
              </w:rPr>
            </w:pPr>
            <w:r>
              <w:rPr>
                <w:rFonts w:ascii="Arial" w:cs="Arial" w:eastAsia="Arial" w:hAnsi="Arial"/>
                <w:sz w:val="18"/>
                <w:szCs w:val="18"/>
                <w:i w:val="1"/>
                <w:iCs w:val="1"/>
                <w:color w:val="auto"/>
              </w:rPr>
              <w:t>OR</w:t>
            </w:r>
          </w:p>
        </w:tc>
        <w:tc>
          <w:tcPr>
            <w:tcW w:w="940" w:type="dxa"/>
            <w:vAlign w:val="bottom"/>
          </w:tcPr>
          <w:p>
            <w:pPr>
              <w:spacing w:after="0"/>
              <w:rPr>
                <w:sz w:val="24"/>
                <w:szCs w:val="24"/>
                <w:color w:val="auto"/>
              </w:rPr>
            </w:pPr>
          </w:p>
        </w:tc>
      </w:tr>
      <w:tr>
        <w:trPr>
          <w:trHeight w:val="493"/>
        </w:trPr>
        <w:tc>
          <w:tcPr>
            <w:tcW w:w="10300" w:type="dxa"/>
            <w:vAlign w:val="bottom"/>
          </w:tcPr>
          <w:p>
            <w:pPr>
              <w:ind w:left="20"/>
              <w:spacing w:after="0"/>
              <w:rPr>
                <w:sz w:val="20"/>
                <w:szCs w:val="20"/>
                <w:color w:val="auto"/>
              </w:rPr>
            </w:pPr>
            <w:r>
              <w:rPr>
                <w:rFonts w:ascii="Arial" w:cs="Arial" w:eastAsia="Arial" w:hAnsi="Arial"/>
                <w:sz w:val="18"/>
                <w:szCs w:val="18"/>
                <w:b w:val="1"/>
                <w:bCs w:val="1"/>
                <w:color w:val="auto"/>
              </w:rPr>
              <w:t>Alternative 2:</w:t>
            </w:r>
          </w:p>
        </w:tc>
        <w:tc>
          <w:tcPr>
            <w:tcW w:w="940" w:type="dxa"/>
            <w:vAlign w:val="bottom"/>
          </w:tcPr>
          <w:p>
            <w:pPr>
              <w:spacing w:after="0"/>
              <w:rPr>
                <w:sz w:val="24"/>
                <w:szCs w:val="24"/>
                <w:color w:val="auto"/>
              </w:rPr>
            </w:pPr>
          </w:p>
        </w:tc>
      </w:tr>
      <w:tr>
        <w:trPr>
          <w:trHeight w:val="263"/>
        </w:trPr>
        <w:tc>
          <w:tcPr>
            <w:tcW w:w="10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 whole company</w:t>
            </w:r>
          </w:p>
        </w:tc>
        <w:tc>
          <w:tcPr>
            <w:tcW w:w="9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100%</w:t>
            </w:r>
          </w:p>
        </w:tc>
      </w:tr>
    </w:tbl>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At the time the Compensation Committee set the goals for 2020, it believed that each of the 2020 annual bonus plan goals was achievable, but only with significant effort. The Compensation Committee monitored the achievement of the 2020 corporate goals throughout the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Performance Evaluations and Bonus Amounts</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December 2020, the Compensation Committee evaluated the Company's performance against the 2020 corporate goals. The Compensation Committee determined that 100% of the 2020 corporate goals established for the 2020 Annual Bonus Plan had been achieved, as further described below. The Compensation Committee based its decision on the following factors:</w:t>
      </w:r>
    </w:p>
    <w:p>
      <w:pPr>
        <w:spacing w:after="0" w:line="211" w:lineRule="exact"/>
        <w:rPr>
          <w:sz w:val="20"/>
          <w:szCs w:val="20"/>
          <w:color w:val="auto"/>
        </w:rPr>
      </w:pPr>
    </w:p>
    <w:p>
      <w:pPr>
        <w:ind w:left="660" w:right="20" w:hanging="328"/>
        <w:spacing w:after="0" w:line="273" w:lineRule="auto"/>
        <w:tabs>
          <w:tab w:leader="none" w:pos="655"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Maximize proceeds from asset monetization</w:t>
      </w:r>
      <w:r>
        <w:rPr>
          <w:rFonts w:ascii="Arial" w:cs="Arial" w:eastAsia="Arial" w:hAnsi="Arial"/>
          <w:sz w:val="17"/>
          <w:szCs w:val="17"/>
          <w:color w:val="auto"/>
        </w:rPr>
        <w:t>. The Company entered into several transactions in 2020 whereby it was able to sell its Noden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certain of its royalty assets and distribute its ownership of LENSAR and Evofem directly to its stockholders. While the Company was not able to sell its Assertio royalty asset, this was offset by potential tax benefits that the Company will likely be able to realize under the CARES Act and the receipt of approximately $59 million in relation to its Wellstat dispute between the initial $7.5 million received upon the signing of the Wellstat Settlement Agreement and the approximately $51.4 received for the Wellstat Settlement Sale. The Compensation Committee used its discretion to conclude that the Company had performed at a level of 75% versus the target level of 75%.</w:t>
      </w:r>
    </w:p>
    <w:p>
      <w:pPr>
        <w:spacing w:after="0" w:line="204" w:lineRule="exact"/>
        <w:rPr>
          <w:rFonts w:ascii="Arial" w:cs="Arial" w:eastAsia="Arial" w:hAnsi="Arial"/>
          <w:sz w:val="17"/>
          <w:szCs w:val="17"/>
          <w:color w:val="auto"/>
        </w:rPr>
      </w:pPr>
    </w:p>
    <w:p>
      <w:pPr>
        <w:ind w:left="660" w:right="120" w:hanging="328"/>
        <w:spacing w:after="0" w:line="259"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Execute monetization in a cost and tax efficient manner</w:t>
      </w:r>
      <w:r>
        <w:rPr>
          <w:rFonts w:ascii="Arial" w:cs="Arial" w:eastAsia="Arial" w:hAnsi="Arial"/>
          <w:sz w:val="18"/>
          <w:szCs w:val="18"/>
          <w:color w:val="auto"/>
        </w:rPr>
        <w:t>. The Board adopted the Plan of Liquidation in February 2020, which should enable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realize tax efficient distributions. The Company’s G&amp;A expenses for 2020 were consistent with the 2020 budget. Based on the substantial achievement of the goal, the Compensation Committee concluded that the Company had performed at a level of 10% versus the target level of 10%.</w:t>
      </w:r>
    </w:p>
    <w:p>
      <w:pPr>
        <w:spacing w:after="0" w:line="213" w:lineRule="exact"/>
        <w:rPr>
          <w:rFonts w:ascii="Arial" w:cs="Arial" w:eastAsia="Arial" w:hAnsi="Arial"/>
          <w:sz w:val="18"/>
          <w:szCs w:val="18"/>
          <w:color w:val="auto"/>
        </w:rPr>
      </w:pPr>
    </w:p>
    <w:p>
      <w:pPr>
        <w:ind w:left="660" w:right="40" w:hanging="328"/>
        <w:spacing w:after="0" w:line="25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Complete monetization of key assets (royalties, LENSAR, Evofem shares, Noden) by December 31, 2020 and/or be in position to file for dissolution by year end</w:t>
      </w:r>
      <w:r>
        <w:rPr>
          <w:rFonts w:ascii="Arial" w:cs="Arial" w:eastAsia="Arial" w:hAnsi="Arial"/>
          <w:sz w:val="18"/>
          <w:szCs w:val="18"/>
          <w:color w:val="auto"/>
        </w:rPr>
        <w:t>. The Company completed the monetization process for the assets that needed to be divested prior to filing for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was able to make a determination to delist the Company’s stock from trading on Nasdaq on December 31, 2020 and file for dissolution with the State of Delaware on January 4, 2021. Based on the substantial achievement of the goal, the Compensation Committee concluded that the Company had performed at a level of 15% versus the target level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t>Following this review, the Compensation Committee approved bonus payments to each of our named executive officers based on the above determinations: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2020 Annual</w:t>
            </w:r>
          </w:p>
        </w:tc>
      </w:tr>
      <w:tr>
        <w:trPr>
          <w:trHeight w:val="241"/>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Bonus</w:t>
            </w:r>
          </w:p>
        </w:tc>
      </w:tr>
      <w:tr>
        <w:trPr>
          <w:trHeight w:val="25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Dominique Monnet</w:t>
            </w: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520,700</w:t>
            </w:r>
          </w:p>
        </w:tc>
      </w:tr>
      <w:tr>
        <w:trPr>
          <w:trHeight w:val="25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Christopher Stone</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Vice President, General Counsel and Secretary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382,445</w:t>
            </w:r>
          </w:p>
        </w:tc>
      </w:tr>
      <w:tr>
        <w:trPr>
          <w:trHeight w:val="263"/>
        </w:trPr>
        <w:tc>
          <w:tcPr>
            <w:tcW w:w="286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Jill Jene</w:t>
            </w:r>
            <w:r>
              <w:rPr>
                <w:rFonts w:ascii="Arial" w:cs="Arial" w:eastAsia="Arial" w:hAnsi="Arial"/>
                <w:sz w:val="23"/>
                <w:szCs w:val="23"/>
                <w:color w:val="auto"/>
                <w:vertAlign w:val="superscript"/>
              </w:rPr>
              <w:t>(1)</w:t>
            </w: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Former Vice President, Business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167,708</w:t>
            </w:r>
          </w:p>
        </w:tc>
      </w:tr>
      <w:tr>
        <w:trPr>
          <w:trHeight w:val="242"/>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Edward Imbrogno</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Vice President, Chief Financial Officer and Chief Accounting Officer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265,988</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9"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Because she separated from the Company on August 15, 2020, Dr. Jene received a pro-rated portion of her bonus under the 2020 Annual Bonus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third component of our compensation strategy is long-term incentive awards. In 2020, our long-term incentive award program was comprised solely of restricted stock awards, which we believe best aligned the interests of management and stockholders in relation to the Company’s monetization strategy. Specifically, our named executive officers received the following restricted stock awards in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 of</w:t>
            </w:r>
          </w:p>
        </w:tc>
      </w:tr>
      <w:tr>
        <w:trPr>
          <w:trHeight w:val="203"/>
        </w:trPr>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Restricted Stock</w:t>
            </w:r>
          </w:p>
        </w:tc>
      </w:tr>
      <w:tr>
        <w:trPr>
          <w:trHeight w:val="241"/>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40" w:type="dxa"/>
            <w:vAlign w:val="bottom"/>
            <w:tcBorders>
              <w:bottom w:val="single" w:sz="8" w:color="CCEEFF"/>
            </w:tcBorders>
          </w:tcPr>
          <w:p>
            <w:pPr>
              <w:spacing w:after="0"/>
              <w:rPr>
                <w:sz w:val="20"/>
                <w:szCs w:val="20"/>
                <w:color w:val="auto"/>
              </w:rPr>
            </w:pPr>
          </w:p>
        </w:tc>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Granted in 2020</w:t>
            </w:r>
          </w:p>
        </w:tc>
      </w:tr>
      <w:tr>
        <w:trPr>
          <w:trHeight w:val="257"/>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Dominique Monnet</w:t>
            </w:r>
          </w:p>
        </w:tc>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1,233,766</w:t>
            </w:r>
          </w:p>
        </w:tc>
      </w:tr>
      <w:tr>
        <w:trPr>
          <w:trHeight w:val="25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Christopher Stone</w:t>
            </w: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Vice President, General Counsel and Secretary</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422,078</w:t>
            </w:r>
          </w:p>
        </w:tc>
      </w:tr>
      <w:tr>
        <w:trPr>
          <w:trHeight w:val="263"/>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Jill Jene</w:t>
            </w:r>
          </w:p>
        </w:tc>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Former Vice President, Business Development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194,805</w:t>
            </w:r>
          </w:p>
        </w:tc>
      </w:tr>
      <w:tr>
        <w:trPr>
          <w:trHeight w:val="243"/>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Edward Imbrogno</w:t>
            </w:r>
          </w:p>
        </w:tc>
        <w:tc>
          <w:tcPr>
            <w:tcW w:w="6900" w:type="dxa"/>
            <w:vAlign w:val="bottom"/>
            <w:gridSpan w:val="2"/>
          </w:tcPr>
          <w:p>
            <w:pPr>
              <w:ind w:left="20"/>
              <w:spacing w:after="0"/>
              <w:rPr>
                <w:sz w:val="20"/>
                <w:szCs w:val="20"/>
                <w:color w:val="auto"/>
              </w:rPr>
            </w:pPr>
            <w:r>
              <w:rPr>
                <w:rFonts w:ascii="Arial" w:cs="Arial" w:eastAsia="Arial" w:hAnsi="Arial"/>
                <w:sz w:val="18"/>
                <w:szCs w:val="18"/>
                <w:color w:val="auto"/>
              </w:rPr>
              <w:t>Vice President, Chief Financial Officer and Chief Accounting Officer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292,208</w:t>
            </w:r>
          </w:p>
        </w:tc>
      </w:tr>
    </w:tbl>
    <w:p>
      <w:pPr>
        <w:spacing w:after="0" w:line="24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restricted stock awards were granted in January 2020 and vest over a three-year period, with 40% vesting on the first anniversary of the grant date and 2.5% vesting monthly thereafter. The vesting of all restricted stock is subject to: (i) continuous service with the Company as of such vesting date and (ii) accelerated vesting in the event of a change of control.</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February 2020, in connection with the Board adopting the Plan of Liquidation, all of the stock options and restricted stock granted to our employees and executive officers accelerated and vested under the change in control definition in the Equity Plan, other than the outstanding awards under the 2016/20 LTIP (as discussed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2016/20 LTIP Payments in 2020</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Under our long-term incentive plans in place prior to 2018, each named executive officer was granted awards consisting of: (i) restricted stock and (ii) a cash payment.</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Subject to the acceleration provisions set forth in the long-term incentive plans described below, each cash award and restricted stock award vested at the times specified in each plan, provided that the named executive officer remains employed by the Company through such date. In 2020, one long-term incentive plan was still effective, the 2016/20 long-term incentive plan (the “2016/20 LTIP”). Mr. Stone was the only remaining named executive officer that was a participant in the 2016/20 LTIP. Under such long-term incentive plan, in addition to remaining employed by the Company through the applicable vesting dates, the Company must meet minimum performance goals described over the applicable performance periods for the restricted stock and cash awards to vest and/or be paid.</w:t>
      </w:r>
    </w:p>
    <w:p>
      <w:pPr>
        <w:spacing w:after="0" w:line="2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Dividend payments and other distributions made on the restricted stock during the vesting periods of the restricted stock will accrue through the vesting periods and will be paid, plus interest, to the named executive officer upon vesting of the restricted stock award. If the minimum performance goals for the long-term incentive plan’s restricted stock awards are not met, the accrued dividend payments and other distributions will be forfeited.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0" w:name="page121"/>
    <w:bookmarkEnd w:id="120"/>
    <w:p>
      <w:pPr>
        <w:ind w:right="300"/>
        <w:spacing w:after="0" w:line="263" w:lineRule="auto"/>
        <w:rPr>
          <w:sz w:val="20"/>
          <w:szCs w:val="20"/>
          <w:color w:val="auto"/>
        </w:rPr>
      </w:pPr>
      <w:r>
        <w:rPr>
          <w:rFonts w:ascii="Arial" w:cs="Arial" w:eastAsia="Arial" w:hAnsi="Arial"/>
          <w:sz w:val="18"/>
          <w:szCs w:val="18"/>
          <w:color w:val="auto"/>
        </w:rPr>
        <w:t>In December 2020, the Compensation Committee determined, that consistent with other outstanding equity grants, the 2016/20 LTIP should vest and be paid in accordance with the 66% performance achievement level that was awarded with respect to the initial vesting period. Upon vesting, Mr. Stone received the awards set forth in the table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Target</w:t>
            </w:r>
          </w:p>
        </w:tc>
        <w:tc>
          <w:tcPr>
            <w:tcW w:w="166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3"/>
              </w:rPr>
              <w:t>Number of</w:t>
            </w:r>
          </w:p>
        </w:tc>
        <w:tc>
          <w:tcPr>
            <w:tcW w:w="166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86"/>
              </w:rPr>
              <w:t>Shares</w:t>
            </w:r>
          </w:p>
        </w:tc>
        <w:tc>
          <w:tcPr>
            <w:tcW w:w="166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0"/>
              </w:rPr>
              <w:t>Target Value of</w:t>
            </w:r>
          </w:p>
        </w:tc>
        <w:tc>
          <w:tcPr>
            <w:tcW w:w="14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3"/>
              </w:rPr>
              <w:t>Underlying</w:t>
            </w:r>
          </w:p>
        </w:tc>
        <w:tc>
          <w:tcPr>
            <w:tcW w:w="1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Number of Shares</w:t>
            </w:r>
          </w:p>
        </w:tc>
      </w:tr>
      <w:tr>
        <w:trPr>
          <w:trHeight w:val="203"/>
        </w:trPr>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88"/>
              </w:rPr>
              <w:t>Restricted</w:t>
            </w:r>
          </w:p>
        </w:tc>
        <w:tc>
          <w:tcPr>
            <w:tcW w:w="140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0"/>
              </w:rPr>
              <w:t>Restricted</w:t>
            </w:r>
          </w:p>
        </w:tc>
        <w:tc>
          <w:tcPr>
            <w:tcW w:w="1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Vested under</w:t>
            </w:r>
          </w:p>
        </w:tc>
      </w:tr>
      <w:tr>
        <w:trPr>
          <w:trHeight w:val="199"/>
        </w:trPr>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20"/>
              <w:spacing w:after="0" w:line="199" w:lineRule="exact"/>
              <w:rPr>
                <w:sz w:val="20"/>
                <w:szCs w:val="20"/>
                <w:color w:val="auto"/>
              </w:rPr>
            </w:pPr>
            <w:r>
              <w:rPr>
                <w:rFonts w:ascii="Arial" w:cs="Arial" w:eastAsia="Arial" w:hAnsi="Arial"/>
                <w:sz w:val="18"/>
                <w:szCs w:val="18"/>
                <w:b w:val="1"/>
                <w:bCs w:val="1"/>
                <w:color w:val="auto"/>
                <w:w w:val="90"/>
              </w:rPr>
              <w:t>Cash</w:t>
            </w:r>
          </w:p>
        </w:tc>
        <w:tc>
          <w:tcPr>
            <w:tcW w:w="100" w:type="dxa"/>
            <w:vAlign w:val="bottom"/>
          </w:tcPr>
          <w:p>
            <w:pPr>
              <w:spacing w:after="0"/>
              <w:rPr>
                <w:sz w:val="17"/>
                <w:szCs w:val="17"/>
                <w:color w:val="auto"/>
              </w:rPr>
            </w:pPr>
          </w:p>
        </w:tc>
        <w:tc>
          <w:tcPr>
            <w:tcW w:w="1200" w:type="dxa"/>
            <w:vAlign w:val="bottom"/>
            <w:gridSpan w:val="2"/>
          </w:tcPr>
          <w:p>
            <w:pPr>
              <w:jc w:val="center"/>
              <w:ind w:right="180"/>
              <w:spacing w:after="0" w:line="199" w:lineRule="exact"/>
              <w:rPr>
                <w:sz w:val="20"/>
                <w:szCs w:val="20"/>
                <w:color w:val="auto"/>
              </w:rPr>
            </w:pPr>
            <w:r>
              <w:rPr>
                <w:rFonts w:ascii="Arial" w:cs="Arial" w:eastAsia="Arial" w:hAnsi="Arial"/>
                <w:sz w:val="18"/>
                <w:szCs w:val="18"/>
                <w:b w:val="1"/>
                <w:bCs w:val="1"/>
                <w:color w:val="auto"/>
                <w:w w:val="89"/>
              </w:rPr>
              <w:t>Stock Award</w:t>
            </w:r>
          </w:p>
        </w:tc>
        <w:tc>
          <w:tcPr>
            <w:tcW w:w="1400" w:type="dxa"/>
            <w:vAlign w:val="bottom"/>
            <w:gridSpan w:val="2"/>
          </w:tcPr>
          <w:p>
            <w:pPr>
              <w:jc w:val="center"/>
              <w:ind w:right="80"/>
              <w:spacing w:after="0" w:line="199" w:lineRule="exact"/>
              <w:rPr>
                <w:sz w:val="20"/>
                <w:szCs w:val="20"/>
                <w:color w:val="auto"/>
              </w:rPr>
            </w:pPr>
            <w:r>
              <w:rPr>
                <w:rFonts w:ascii="Arial" w:cs="Arial" w:eastAsia="Arial" w:hAnsi="Arial"/>
                <w:sz w:val="18"/>
                <w:szCs w:val="18"/>
                <w:b w:val="1"/>
                <w:bCs w:val="1"/>
                <w:color w:val="auto"/>
                <w:w w:val="92"/>
              </w:rPr>
              <w:t>Stock Award at</w:t>
            </w:r>
          </w:p>
        </w:tc>
        <w:tc>
          <w:tcPr>
            <w:tcW w:w="166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88"/>
              </w:rPr>
              <w:t>Restricted Stock</w:t>
            </w:r>
          </w:p>
        </w:tc>
      </w:tr>
      <w:tr>
        <w:trPr>
          <w:trHeight w:val="251"/>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1"/>
                <w:szCs w:val="21"/>
                <w:color w:val="auto"/>
              </w:rPr>
            </w:pPr>
          </w:p>
        </w:tc>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21"/>
                <w:szCs w:val="21"/>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Target Cash</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Awarded</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30"/>
              <w:spacing w:after="0" w:line="251" w:lineRule="exact"/>
              <w:rPr>
                <w:sz w:val="20"/>
                <w:szCs w:val="20"/>
                <w:color w:val="auto"/>
              </w:rPr>
            </w:pPr>
            <w:r>
              <w:rPr>
                <w:rFonts w:ascii="Arial" w:cs="Arial" w:eastAsia="Arial" w:hAnsi="Arial"/>
                <w:sz w:val="18"/>
                <w:szCs w:val="18"/>
                <w:b w:val="1"/>
                <w:bCs w:val="1"/>
                <w:color w:val="auto"/>
                <w:w w:val="91"/>
              </w:rPr>
              <w:t>at Grant</w:t>
            </w:r>
            <w:r>
              <w:rPr>
                <w:rFonts w:ascii="Arial" w:cs="Arial" w:eastAsia="Arial" w:hAnsi="Arial"/>
                <w:sz w:val="23"/>
                <w:szCs w:val="23"/>
                <w:b w:val="1"/>
                <w:bCs w:val="1"/>
                <w:color w:val="auto"/>
                <w:w w:val="91"/>
                <w:vertAlign w:val="superscript"/>
              </w:rPr>
              <w:t>(1)</w:t>
            </w:r>
          </w:p>
        </w:tc>
        <w:tc>
          <w:tcPr>
            <w:tcW w:w="80" w:type="dxa"/>
            <w:vAlign w:val="bottom"/>
          </w:tcPr>
          <w:p>
            <w:pPr>
              <w:spacing w:after="0"/>
              <w:rPr>
                <w:sz w:val="21"/>
                <w:szCs w:val="21"/>
                <w:color w:val="auto"/>
              </w:rPr>
            </w:pPr>
          </w:p>
        </w:tc>
        <w:tc>
          <w:tcPr>
            <w:tcW w:w="130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18"/>
                <w:szCs w:val="18"/>
                <w:b w:val="1"/>
                <w:bCs w:val="1"/>
                <w:color w:val="auto"/>
                <w:w w:val="89"/>
              </w:rPr>
              <w:t>Grant</w:t>
            </w:r>
            <w:r>
              <w:rPr>
                <w:rFonts w:ascii="Arial" w:cs="Arial" w:eastAsia="Arial" w:hAnsi="Arial"/>
                <w:sz w:val="23"/>
                <w:szCs w:val="23"/>
                <w:b w:val="1"/>
                <w:bCs w:val="1"/>
                <w:color w:val="auto"/>
                <w:w w:val="89"/>
                <w:vertAlign w:val="superscript"/>
              </w:rPr>
              <w:t>(2)</w:t>
            </w:r>
          </w:p>
        </w:tc>
        <w:tc>
          <w:tcPr>
            <w:tcW w:w="10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w:t>
            </w:r>
          </w:p>
        </w:tc>
      </w:tr>
      <w:tr>
        <w:trPr>
          <w:trHeight w:val="209"/>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Christopher Stone</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w w:val="97"/>
              </w:rPr>
              <w:t>Vice President, General Counsel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1"/>
        </w:trPr>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and Secretary</w:t>
            </w:r>
          </w:p>
        </w:tc>
        <w:tc>
          <w:tcPr>
            <w:tcW w:w="980" w:type="dxa"/>
            <w:vAlign w:val="bottom"/>
          </w:tcPr>
          <w:p>
            <w:pPr>
              <w:spacing w:after="0"/>
              <w:rPr>
                <w:sz w:val="20"/>
                <w:szCs w:val="20"/>
                <w:color w:val="auto"/>
              </w:rPr>
            </w:pPr>
            <w:r>
              <w:rPr>
                <w:rFonts w:ascii="Arial" w:cs="Arial" w:eastAsia="Arial" w:hAnsi="Arial"/>
                <w:sz w:val="18"/>
                <w:szCs w:val="18"/>
                <w:color w:val="auto"/>
              </w:rPr>
              <w:t>$   255,154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168,372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109,332</w:t>
            </w:r>
          </w:p>
        </w:tc>
        <w:tc>
          <w:tcPr>
            <w:tcW w:w="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33,954</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22,410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300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p>
      <w:pPr>
        <w:ind w:left="100"/>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Target Value of Restricted Stock Award at Grant is the value of the restricted stock on the date granted assuming 100% of the award is achieved. The realized value of such restricted stock may be more or less based on: (i) the value of our common stock when the restricted stock actually vests over the life of the 2016/20 LTIP and (ii) the number of shares that actually vest.</w:t>
      </w:r>
    </w:p>
    <w:p>
      <w:pPr>
        <w:spacing w:after="0" w:line="2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 price of $3.22 per share was used to determine the initial number of shares granted in 2016, which reflected the closing price of the Company’s shares on January 26, 2016, as per the terms of the 2016/20 LTIP.</w:t>
      </w:r>
    </w:p>
    <w:p>
      <w:pPr>
        <w:spacing w:after="0" w:line="200" w:lineRule="exact"/>
        <w:rPr>
          <w:sz w:val="20"/>
          <w:szCs w:val="20"/>
          <w:color w:val="auto"/>
        </w:rPr>
      </w:pPr>
    </w:p>
    <w:p>
      <w:pPr>
        <w:sectPr>
          <w:pgSz w:w="11900" w:h="16838" w:orient="portrait"/>
          <w:cols w:equalWidth="0" w:num="2">
            <w:col w:w="240" w:space="660"/>
            <w:col w:w="10340"/>
          </w:cols>
          <w:pgMar w:left="320" w:top="93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 Down Retention Benefits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discussed in more detail above, our Wind Down Retention Plan enabled participants to a cash retention payment in consideration for their continued employment with the Company. For our Chief Executive Officer, the cash retention payment was a lump sum cash payment equal to three times the sum of his base salary and target bonus, plus an amount equal to the cost of 12 months of health insurance continuation under COBRA. For other named executive officers, the cash retention payment was equal to two times the sum of their base salary and target bonus, plus an amount equal to the cost of 12 months of health insurance continuation under COBRA. The cash retention payment was in lieu of (and not in addition to) any other severance compensation that could become payable to the participant.</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Given the previously disclosed decision to file for dissolution on January 4, 2021 and in order to realize certain potential tax benefits for the Company, the Compensation Committee and the Board approved the accelerated payment of the cash retention payment under the Wind Down Retention Plan in December 2020. In 2020, the following cash retention payments were paid to our named executive officers: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Wind-Down</w:t>
            </w:r>
          </w:p>
        </w:tc>
      </w:tr>
      <w:tr>
        <w:trPr>
          <w:trHeight w:val="203"/>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9"/>
              </w:rPr>
              <w:t>Retention Benefits</w:t>
            </w:r>
          </w:p>
        </w:tc>
      </w:tr>
      <w:tr>
        <w:trPr>
          <w:trHeight w:val="241"/>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80" w:type="dxa"/>
            <w:vAlign w:val="bottom"/>
            <w:tcBorders>
              <w:bottom w:val="single" w:sz="8" w:color="CCEEFF"/>
            </w:tcBorders>
          </w:tcPr>
          <w:p>
            <w:pPr>
              <w:spacing w:after="0"/>
              <w:rPr>
                <w:sz w:val="20"/>
                <w:szCs w:val="20"/>
                <w:color w:val="auto"/>
              </w:rPr>
            </w:pP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Paid in 2020</w:t>
            </w:r>
          </w:p>
        </w:tc>
      </w:tr>
      <w:tr>
        <w:trPr>
          <w:trHeight w:val="257"/>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Dominique Monnet</w:t>
            </w: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3,514,725</w:t>
            </w:r>
          </w:p>
        </w:tc>
      </w:tr>
      <w:tr>
        <w:trPr>
          <w:trHeight w:val="25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Christopher Stone</w:t>
            </w: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Vice President, General Counsel and Secretary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1,784,745</w:t>
            </w:r>
          </w:p>
        </w:tc>
      </w:tr>
      <w:tr>
        <w:trPr>
          <w:trHeight w:val="26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Jill Jene</w:t>
            </w: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Former Vice President, Business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1,266,443</w:t>
            </w:r>
          </w:p>
        </w:tc>
      </w:tr>
      <w:tr>
        <w:trPr>
          <w:trHeight w:val="243"/>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Edward Imbrogno</w:t>
            </w: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Vice President, Chief Financial Officer and Chief Accounting Officer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1,241,275</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Dr. Jene’s benefits under the Wind Down Retention Plan were paid in August 2020 upon her separation from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52"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The final component of the Company’s compensation strategy is the inclusion of certain employee benefits. We provide our employees, including our named executive officers, with customary benefits, including medical, dental, vision and life insurance coverage, short-term and long-term disability coverage and the ability to participate in our 401(k) plan, which provides for a Company matching contribution up to certain limits. The costs of our insurance coverage benefits are largely borne by us; however, employees pay portions of the premiums for some of these benefits. We think that these benefits are of the type customarily offered to employees by our peer group and in our industry.</w:t>
      </w:r>
    </w:p>
    <w:p>
      <w:pPr>
        <w:spacing w:after="0" w:line="2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element of compensation is intended to provide assurance of financial support in the event of illness or injury and encourage retirement savings through a 401(k) plan.</w:t>
      </w:r>
    </w:p>
    <w:p>
      <w:pPr>
        <w:sectPr>
          <w:pgSz w:w="11900" w:h="16838" w:orient="portrait"/>
          <w:cols w:equalWidth="0" w:num="1">
            <w:col w:w="11240"/>
          </w:cols>
          <w:pgMar w:left="320" w:top="9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All Other Compensation</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Due to the Company’s unique business model, the difficulty in locating experienced and qualified executive officer candidates in the remote area surrounding the Company’s headquarters and the fact that in most cases we require our named executive officers to be located proximate to the Company’s headquarters in Nevada, the Compensation Committee decided to provide housing assistance in 2020 to Mr. Monnet ($4,000 per month) and Mr. Imbrogno ($4,000 per month). We generally do not offer any other perquisites to our named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25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Board has determined that ownership of our common stock by our officers promotes a focus on long-term growth and aligns the interests of our officers with those of our stockholders. As a result, the Board has adopted stock ownership guidelines stating that our chief executive officer and our other five most-highly-compensated officers (based on annual base salary), should maintain certain minimum ownership levels of our common stock.</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stock ownership guidelines require the following levels of ownership among our named executive officers not later than five years after the date the person is initially appointed to the applicable position:</w:t>
      </w:r>
    </w:p>
    <w:p>
      <w:pPr>
        <w:spacing w:after="0" w:line="239" w:lineRule="exact"/>
        <w:rPr>
          <w:sz w:val="20"/>
          <w:szCs w:val="20"/>
          <w:color w:val="auto"/>
        </w:rPr>
      </w:pPr>
    </w:p>
    <w:tbl>
      <w:tblPr>
        <w:tblLayout w:type="fixed"/>
        <w:tblInd w:w="1460" w:type="dxa"/>
        <w:tblCellMar>
          <w:top w:w="0" w:type="dxa"/>
          <w:left w:w="0" w:type="dxa"/>
          <w:bottom w:w="0" w:type="dxa"/>
          <w:right w:w="0" w:type="dxa"/>
        </w:tblCellMar>
      </w:tblPr>
      <w:tr>
        <w:trPr>
          <w:trHeight w:val="257"/>
        </w:trPr>
        <w:tc>
          <w:tcPr>
            <w:tcW w:w="4520" w:type="dxa"/>
            <w:vAlign w:val="bottom"/>
            <w:shd w:val="clear" w:color="auto" w:fill="000000"/>
          </w:tcPr>
          <w:p>
            <w:pPr>
              <w:ind w:left="2420"/>
              <w:spacing w:after="0"/>
              <w:rPr>
                <w:sz w:val="20"/>
                <w:szCs w:val="20"/>
                <w:color w:val="auto"/>
              </w:rPr>
            </w:pPr>
            <w:r>
              <w:rPr>
                <w:rFonts w:ascii="Arial" w:cs="Arial" w:eastAsia="Arial" w:hAnsi="Arial"/>
                <w:sz w:val="18"/>
                <w:szCs w:val="18"/>
                <w:b w:val="1"/>
                <w:bCs w:val="1"/>
                <w:color w:val="FFFFFF"/>
              </w:rPr>
              <w:t>Title</w:t>
            </w:r>
          </w:p>
        </w:tc>
        <w:tc>
          <w:tcPr>
            <w:tcW w:w="3820" w:type="dxa"/>
            <w:vAlign w:val="bottom"/>
            <w:shd w:val="clear" w:color="auto" w:fill="000000"/>
          </w:tcPr>
          <w:p>
            <w:pPr>
              <w:jc w:val="center"/>
              <w:ind w:left="690"/>
              <w:spacing w:after="0"/>
              <w:rPr>
                <w:sz w:val="20"/>
                <w:szCs w:val="20"/>
                <w:color w:val="auto"/>
              </w:rPr>
            </w:pPr>
            <w:r>
              <w:rPr>
                <w:rFonts w:ascii="Arial" w:cs="Arial" w:eastAsia="Arial" w:hAnsi="Arial"/>
                <w:sz w:val="18"/>
                <w:szCs w:val="18"/>
                <w:b w:val="1"/>
                <w:bCs w:val="1"/>
                <w:color w:val="FFFFFF"/>
                <w:w w:val="90"/>
              </w:rPr>
              <w:t>Ownership Threshold</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3820" w:type="dxa"/>
            <w:vAlign w:val="bottom"/>
          </w:tcPr>
          <w:p>
            <w:pPr>
              <w:jc w:val="center"/>
              <w:ind w:left="690"/>
              <w:spacing w:after="0"/>
              <w:rPr>
                <w:sz w:val="20"/>
                <w:szCs w:val="20"/>
                <w:color w:val="auto"/>
              </w:rPr>
            </w:pPr>
            <w:r>
              <w:rPr>
                <w:rFonts w:ascii="Arial" w:cs="Arial" w:eastAsia="Arial" w:hAnsi="Arial"/>
                <w:sz w:val="18"/>
                <w:szCs w:val="18"/>
                <w:color w:val="auto"/>
                <w:w w:val="89"/>
              </w:rPr>
              <w:t>Three times (3x) base salary</w:t>
            </w: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Chief Financial Officer and General Counsel</w:t>
            </w:r>
          </w:p>
        </w:tc>
        <w:tc>
          <w:tcPr>
            <w:tcW w:w="3820" w:type="dxa"/>
            <w:vAlign w:val="bottom"/>
          </w:tcPr>
          <w:p>
            <w:pPr>
              <w:jc w:val="center"/>
              <w:ind w:left="690"/>
              <w:spacing w:after="0"/>
              <w:rPr>
                <w:sz w:val="20"/>
                <w:szCs w:val="20"/>
                <w:color w:val="auto"/>
              </w:rPr>
            </w:pPr>
            <w:r>
              <w:rPr>
                <w:rFonts w:ascii="Arial" w:cs="Arial" w:eastAsia="Arial" w:hAnsi="Arial"/>
                <w:sz w:val="18"/>
                <w:szCs w:val="18"/>
                <w:color w:val="auto"/>
                <w:w w:val="89"/>
              </w:rPr>
              <w:t>One times (1x) base salary</w:t>
            </w: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Other Executives</w:t>
            </w:r>
          </w:p>
        </w:tc>
        <w:tc>
          <w:tcPr>
            <w:tcW w:w="3820" w:type="dxa"/>
            <w:vAlign w:val="bottom"/>
          </w:tcPr>
          <w:p>
            <w:pPr>
              <w:jc w:val="center"/>
              <w:ind w:left="690"/>
              <w:spacing w:after="0"/>
              <w:rPr>
                <w:sz w:val="20"/>
                <w:szCs w:val="20"/>
                <w:color w:val="auto"/>
              </w:rPr>
            </w:pPr>
            <w:r>
              <w:rPr>
                <w:rFonts w:ascii="Arial" w:cs="Arial" w:eastAsia="Arial" w:hAnsi="Arial"/>
                <w:sz w:val="18"/>
                <w:szCs w:val="18"/>
                <w:color w:val="auto"/>
                <w:w w:val="88"/>
              </w:rPr>
              <w:t>50% of base salary</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all of our named executive officers were in compliance with this requirement.</w:t>
      </w:r>
    </w:p>
    <w:p>
      <w:pPr>
        <w:spacing w:after="0" w:line="25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Board is permitted, in its discretion, to waive the application of our stock ownership guidelines to any covered individual if it determines that, as a result of the individual’s personal circumstances, application of our stock ownership guidelines would result in a hardship.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and Pledging Prohibition</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Trading Compliance Policy prohibits our directors, officers, and other individuals designated as having access to material non-public information, both during their service with us and following their termination of service, from engaging in the following transactions: (i) short sales in our securities, (ii) hedging transactions, including zero-cost collars and forward sale contracts, that limit economic losses from holding our securities, (iii) holding our securities in a margin account, and (iv) pledging our securities. Other employees are strongly discouraged from engaging in these transactions. We prohibit and/or discourage our directors, officers and employees from engaging in hedging transactions because it is our view that such transactions detract from the alignment of our directors, officers and employees with our stockholders, signal to the market that individuals engaging in these transactions have no confidence in us or in our short-term prospects, and may reduce applicable individual’s incentive to improve our performance.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Board has adopted a policy for recoupment of incentive compensation, or the clawback policy. The Board adopted the clawback policy to prevent executive officers involved in certain wrongful conduct from unjustly benefiting from that conduct, and to remove the financial incentives to engage in such conduct. The clawback policy generally requires an executive officer who is involved in wrongful conduct that results in a restatement of the Company’s financial statements to repay to the Company up to the full amount of any incentive compensation based on the financial statements that were subsequently restated. Incentive compensation includes bonuses or awards under the Company’s annual cash bonus plans, long-term incentive plans and equity incentive plans.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determining executive compensation, the Compensation Committee also considers, among other factors, the possible tax consequences to the Company and to our executive officers. The Compensation Committee has determined that our interests are best served in certain circumstances by providing compensation that is not deductible under Section 162(m) of the Code and,</w:t>
      </w:r>
    </w:p>
    <w:p>
      <w:pPr>
        <w:sectPr>
          <w:pgSz w:w="11900" w:h="16838" w:orient="portrait"/>
          <w:cols w:equalWidth="0" w:num="1">
            <w:col w:w="11220"/>
          </w:cols>
          <w:pgMar w:left="320" w:top="935"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122" w:name="page123"/>
    <w:bookmarkEnd w:id="122"/>
    <w:p>
      <w:pPr>
        <w:ind w:right="180"/>
        <w:spacing w:after="0" w:line="277" w:lineRule="auto"/>
        <w:rPr>
          <w:sz w:val="20"/>
          <w:szCs w:val="20"/>
          <w:color w:val="auto"/>
        </w:rPr>
      </w:pPr>
      <w:r>
        <w:rPr>
          <w:rFonts w:ascii="Arial" w:cs="Arial" w:eastAsia="Arial" w:hAnsi="Arial"/>
          <w:sz w:val="18"/>
          <w:szCs w:val="18"/>
          <w:color w:val="auto"/>
        </w:rPr>
        <w:t>accordingly, may grant such compensation that may be subject to the $1,000,000 annual limit on deductibility, including base salary, annual cash bonuses and long-term incentive awards.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Sections 280G and 4999 of the Code provide that executive officers, persons who hold significant equity interests and certain other highly-compensated service providers may be subject to an excise tax if they receive payments or benefits in connection with a change in control of the Company that exceeds certain prescribed limits, and that the Company (or a successor) may forfeit a deduction on the amounts subject to this additional tax. Further, Section 409A of the Code imposes certain additional taxes on service providers who enter into certain deferred compensation arrangements that do not comply with the requirements of Section 409A of the Code. We have not agreed to pay any named executive officer a “gross-up” or other reimbursement payment for any tax liability that he or she might owe as a result of the application of Section 280G, 4999 or 409A of the Code.</w:t>
      </w:r>
    </w:p>
    <w:p>
      <w:pPr>
        <w:spacing w:after="0" w:line="19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Compensation Committee also considers the accounting consequences to the Company of different compensation decisions and the impact of certain arrangements on stockholder dilution. However, neither of these factors by themselves will compel a particular compensation decision.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Following the Company’s delisting from Nasdaq in January 2021, the Compensation Committee was disbanded, at which point the Board assumed the duties of the Compensation Committee. The Board has reviewed and discussed with management the Compensation Discussion and Analysis contained in this Annual Report on Form 10-K. Based on this review and discussion, the Board has decided to include the Compensation Discussion and Analysis in this Annual Report on Form 10-K for the fiscal year ended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Elizabeth O’Farrell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Alan Bazaar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Natasha Hernday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McLaughlin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Dominique Monnet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compensation earned by our chief executive officer, chief financial officer, the other individual serving as an executive officer as of the end of 2020 and our former vice president, business development (the named executive officers) for the last three fiscal years is set forth in the table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Non-Equity</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3"/>
                <w:szCs w:val="13"/>
                <w:color w:val="auto"/>
              </w:rPr>
            </w:pPr>
          </w:p>
        </w:tc>
        <w:tc>
          <w:tcPr>
            <w:tcW w:w="90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3"/>
                <w:szCs w:val="13"/>
                <w:color w:val="auto"/>
              </w:rPr>
            </w:pPr>
          </w:p>
        </w:tc>
        <w:tc>
          <w:tcPr>
            <w:tcW w:w="106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auto"/>
                <w:w w:val="95"/>
              </w:rPr>
              <w:t>Incentive Plan</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228"/>
              <w:spacing w:after="0" w:line="159" w:lineRule="exact"/>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Title</w:t>
            </w:r>
          </w:p>
        </w:tc>
        <w:tc>
          <w:tcPr>
            <w:tcW w:w="100" w:type="dxa"/>
            <w:vAlign w:val="bottom"/>
          </w:tcPr>
          <w:p>
            <w:pPr>
              <w:spacing w:after="0"/>
              <w:rPr>
                <w:sz w:val="18"/>
                <w:szCs w:val="18"/>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8"/>
                <w:szCs w:val="18"/>
                <w:b w:val="1"/>
                <w:bCs w:val="1"/>
                <w:color w:val="auto"/>
                <w:w w:val="94"/>
                <w:vertAlign w:val="superscript"/>
              </w:rPr>
              <w:t>(1)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8"/>
                <w:szCs w:val="18"/>
                <w:b w:val="1"/>
                <w:bCs w:val="1"/>
                <w:color w:val="auto"/>
                <w:w w:val="94"/>
                <w:vertAlign w:val="superscript"/>
              </w:rPr>
              <w:t>(2)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2"/>
              </w:rPr>
              <w:t>Compensation</w:t>
            </w:r>
          </w:p>
        </w:tc>
        <w:tc>
          <w:tcPr>
            <w:tcW w:w="280" w:type="dxa"/>
            <w:vAlign w:val="bottom"/>
            <w:vMerge w:val="restart"/>
          </w:tcPr>
          <w:p>
            <w:pPr>
              <w:jc w:val="right"/>
              <w:ind w:right="93"/>
              <w:spacing w:after="0"/>
              <w:rPr>
                <w:sz w:val="20"/>
                <w:szCs w:val="20"/>
                <w:color w:val="auto"/>
              </w:rPr>
            </w:pPr>
            <w:r>
              <w:rPr>
                <w:rFonts w:ascii="Arial" w:cs="Arial" w:eastAsia="Arial" w:hAnsi="Arial"/>
                <w:sz w:val="9"/>
                <w:szCs w:val="9"/>
                <w:color w:val="auto"/>
              </w:rPr>
              <w:t>(3)</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2"/>
              </w:rPr>
              <w:t>Compensation</w:t>
            </w:r>
          </w:p>
        </w:tc>
        <w:tc>
          <w:tcPr>
            <w:tcW w:w="300" w:type="dxa"/>
            <w:vAlign w:val="bottom"/>
            <w:vMerge w:val="restart"/>
          </w:tcPr>
          <w:p>
            <w:pPr>
              <w:jc w:val="right"/>
              <w:ind w:right="113"/>
              <w:spacing w:after="0"/>
              <w:rPr>
                <w:sz w:val="20"/>
                <w:szCs w:val="20"/>
                <w:color w:val="auto"/>
              </w:rPr>
            </w:pPr>
            <w:r>
              <w:rPr>
                <w:rFonts w:ascii="Arial" w:cs="Arial" w:eastAsia="Arial" w:hAnsi="Arial"/>
                <w:sz w:val="9"/>
                <w:szCs w:val="9"/>
                <w:color w:val="auto"/>
              </w:rPr>
              <w:t>(4)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Dominique Monnet</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650,875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3,800,000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520,700</w:t>
            </w:r>
          </w:p>
        </w:tc>
        <w:tc>
          <w:tcPr>
            <w:tcW w:w="28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3,574,125</w:t>
            </w:r>
          </w:p>
        </w:tc>
        <w:tc>
          <w:tcPr>
            <w:tcW w:w="300" w:type="dxa"/>
            <w:vAlign w:val="bottom"/>
            <w:vMerge w:val="continue"/>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8,545,700</w:t>
            </w:r>
          </w:p>
        </w:tc>
        <w:tc>
          <w:tcPr>
            <w:tcW w:w="0" w:type="dxa"/>
            <w:vAlign w:val="bottom"/>
          </w:tcPr>
          <w:p>
            <w:pPr>
              <w:spacing w:after="0"/>
              <w:rPr>
                <w:sz w:val="1"/>
                <w:szCs w:val="1"/>
                <w:color w:val="auto"/>
              </w:rPr>
            </w:pPr>
          </w:p>
        </w:tc>
      </w:tr>
      <w:tr>
        <w:trPr>
          <w:trHeight w:val="25"/>
        </w:trPr>
        <w:tc>
          <w:tcPr>
            <w:tcW w:w="20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President and Chief</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1,678,000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3,822,000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508,000</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6,701,000</w:t>
            </w:r>
          </w:p>
        </w:tc>
        <w:tc>
          <w:tcPr>
            <w:tcW w:w="0" w:type="dxa"/>
            <w:vAlign w:val="bottom"/>
          </w:tcPr>
          <w:p>
            <w:pPr>
              <w:spacing w:after="0"/>
              <w:rPr>
                <w:sz w:val="1"/>
                <w:szCs w:val="1"/>
                <w:color w:val="auto"/>
              </w:rPr>
            </w:pPr>
          </w:p>
        </w:tc>
      </w:tr>
      <w:tr>
        <w:trPr>
          <w:trHeight w:val="22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Executive Officer</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1,568,740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346,500</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2,498,240</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9"/>
                <w:szCs w:val="9"/>
                <w:color w:val="auto"/>
              </w:rPr>
              <w:t>(3)</w:t>
            </w: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vMerge w:val="restart"/>
          </w:tcPr>
          <w:p>
            <w:pPr>
              <w:jc w:val="right"/>
              <w:ind w:right="113"/>
              <w:spacing w:after="0"/>
              <w:rPr>
                <w:sz w:val="20"/>
                <w:szCs w:val="20"/>
                <w:color w:val="auto"/>
              </w:rPr>
            </w:pPr>
            <w:r>
              <w:rPr>
                <w:rFonts w:ascii="Arial" w:cs="Arial" w:eastAsia="Arial" w:hAnsi="Arial"/>
                <w:sz w:val="9"/>
                <w:szCs w:val="9"/>
                <w:color w:val="auto"/>
              </w:rPr>
              <w:t>(5)</w:t>
            </w: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Edward Imbrogno</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354,650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900,000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265,988</w:t>
            </w:r>
          </w:p>
        </w:tc>
        <w:tc>
          <w:tcPr>
            <w:tcW w:w="28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1,300,675</w:t>
            </w:r>
          </w:p>
        </w:tc>
        <w:tc>
          <w:tcPr>
            <w:tcW w:w="300" w:type="dxa"/>
            <w:vAlign w:val="bottom"/>
            <w:vMerge w:val="continue"/>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2,821,313</w:t>
            </w:r>
          </w:p>
        </w:tc>
        <w:tc>
          <w:tcPr>
            <w:tcW w:w="0" w:type="dxa"/>
            <w:vAlign w:val="bottom"/>
          </w:tcPr>
          <w:p>
            <w:pPr>
              <w:spacing w:after="0"/>
              <w:rPr>
                <w:sz w:val="1"/>
                <w:szCs w:val="1"/>
                <w:color w:val="auto"/>
              </w:rPr>
            </w:pPr>
          </w:p>
        </w:tc>
      </w:tr>
      <w:tr>
        <w:trPr>
          <w:trHeight w:val="25"/>
        </w:trPr>
        <w:tc>
          <w:tcPr>
            <w:tcW w:w="2080" w:type="dxa"/>
            <w:vAlign w:val="bottom"/>
            <w:shd w:val="clear" w:color="auto" w:fill="CCEEFF"/>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Vice President, Chief Financial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211,943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814,143</w:t>
            </w: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Officer and Chief Accounting</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Officer</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9"/>
                <w:szCs w:val="9"/>
                <w:color w:val="auto"/>
              </w:rPr>
              <w:t>(6)</w:t>
            </w: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vMerge w:val="restart"/>
          </w:tcPr>
          <w:p>
            <w:pPr>
              <w:jc w:val="right"/>
              <w:ind w:right="113"/>
              <w:spacing w:after="0"/>
              <w:rPr>
                <w:sz w:val="20"/>
                <w:szCs w:val="20"/>
                <w:color w:val="auto"/>
              </w:rPr>
            </w:pPr>
            <w:r>
              <w:rPr>
                <w:rFonts w:ascii="Arial" w:cs="Arial" w:eastAsia="Arial" w:hAnsi="Arial"/>
                <w:sz w:val="9"/>
                <w:szCs w:val="9"/>
                <w:color w:val="auto"/>
              </w:rPr>
              <w:t>(7)</w:t>
            </w: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Christopher Stone</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509,927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1,300,000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550,817</w:t>
            </w:r>
          </w:p>
        </w:tc>
        <w:tc>
          <w:tcPr>
            <w:tcW w:w="28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1,796,145</w:t>
            </w:r>
          </w:p>
        </w:tc>
        <w:tc>
          <w:tcPr>
            <w:tcW w:w="300" w:type="dxa"/>
            <w:vAlign w:val="bottom"/>
            <w:vMerge w:val="continue"/>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4,156,889</w:t>
            </w:r>
          </w:p>
        </w:tc>
        <w:tc>
          <w:tcPr>
            <w:tcW w:w="0" w:type="dxa"/>
            <w:vAlign w:val="bottom"/>
          </w:tcPr>
          <w:p>
            <w:pPr>
              <w:spacing w:after="0"/>
              <w:rPr>
                <w:sz w:val="1"/>
                <w:szCs w:val="1"/>
                <w:color w:val="auto"/>
              </w:rPr>
            </w:pPr>
          </w:p>
        </w:tc>
      </w:tr>
      <w:tr>
        <w:trPr>
          <w:trHeight w:val="25"/>
        </w:trPr>
        <w:tc>
          <w:tcPr>
            <w:tcW w:w="2080" w:type="dxa"/>
            <w:vAlign w:val="bottom"/>
            <w:shd w:val="clear" w:color="auto" w:fill="CCEEFF"/>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Vice President, General</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497,490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645,129</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2,452,619</w:t>
            </w:r>
          </w:p>
        </w:tc>
        <w:tc>
          <w:tcPr>
            <w:tcW w:w="0" w:type="dxa"/>
            <w:vAlign w:val="bottom"/>
          </w:tcPr>
          <w:p>
            <w:pPr>
              <w:spacing w:after="0"/>
              <w:rPr>
                <w:sz w:val="1"/>
                <w:szCs w:val="1"/>
                <w:color w:val="auto"/>
              </w:rPr>
            </w:pPr>
          </w:p>
        </w:tc>
      </w:tr>
      <w:tr>
        <w:trPr>
          <w:trHeight w:val="221"/>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Counsel and Secretary</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1,137,555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500,940</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2,131,495</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9"/>
                <w:szCs w:val="9"/>
                <w:color w:val="auto"/>
              </w:rPr>
              <w:t>(3)</w:t>
            </w: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vMerge w:val="restart"/>
          </w:tcPr>
          <w:p>
            <w:pPr>
              <w:jc w:val="right"/>
              <w:ind w:right="113"/>
              <w:spacing w:after="0"/>
              <w:rPr>
                <w:sz w:val="20"/>
                <w:szCs w:val="20"/>
                <w:color w:val="auto"/>
              </w:rPr>
            </w:pPr>
            <w:r>
              <w:rPr>
                <w:rFonts w:ascii="Arial" w:cs="Arial" w:eastAsia="Arial" w:hAnsi="Arial"/>
                <w:sz w:val="9"/>
                <w:szCs w:val="9"/>
                <w:color w:val="auto"/>
              </w:rPr>
              <w:t>(8)</w:t>
            </w: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Jill Jene</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224,347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167,708</w:t>
            </w:r>
          </w:p>
        </w:tc>
        <w:tc>
          <w:tcPr>
            <w:tcW w:w="28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1,277,843</w:t>
            </w:r>
          </w:p>
        </w:tc>
        <w:tc>
          <w:tcPr>
            <w:tcW w:w="300" w:type="dxa"/>
            <w:vAlign w:val="bottom"/>
            <w:vMerge w:val="continue"/>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2,269,898</w:t>
            </w:r>
          </w:p>
        </w:tc>
        <w:tc>
          <w:tcPr>
            <w:tcW w:w="0" w:type="dxa"/>
            <w:vAlign w:val="bottom"/>
          </w:tcPr>
          <w:p>
            <w:pPr>
              <w:spacing w:after="0"/>
              <w:rPr>
                <w:sz w:val="1"/>
                <w:szCs w:val="1"/>
                <w:color w:val="auto"/>
              </w:rPr>
            </w:pPr>
          </w:p>
        </w:tc>
      </w:tr>
      <w:tr>
        <w:trPr>
          <w:trHeight w:val="25"/>
        </w:trPr>
        <w:tc>
          <w:tcPr>
            <w:tcW w:w="2080" w:type="dxa"/>
            <w:vAlign w:val="bottom"/>
            <w:vMerge w:val="restart"/>
            <w:shd w:val="clear" w:color="auto" w:fill="CCEEFF"/>
          </w:tcPr>
          <w:p>
            <w:pPr>
              <w:ind w:left="20"/>
              <w:spacing w:after="0"/>
              <w:rPr>
                <w:sz w:val="20"/>
                <w:szCs w:val="20"/>
                <w:color w:val="auto"/>
              </w:rPr>
            </w:pPr>
            <w:r>
              <w:rPr>
                <w:rFonts w:ascii="Arial" w:cs="Arial" w:eastAsia="Arial" w:hAnsi="Arial"/>
                <w:sz w:val="14"/>
                <w:szCs w:val="14"/>
                <w:i w:val="1"/>
                <w:iCs w:val="1"/>
                <w:color w:val="auto"/>
              </w:rPr>
              <w:t>Former Vice President, Business</w:t>
            </w: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350,200</w:t>
            </w:r>
          </w:p>
        </w:tc>
        <w:tc>
          <w:tcPr>
            <w:tcW w:w="100" w:type="dxa"/>
            <w:vAlign w:val="bottom"/>
          </w:tcPr>
          <w:p>
            <w:pPr>
              <w:spacing w:after="0"/>
              <w:rPr>
                <w:sz w:val="2"/>
                <w:szCs w:val="2"/>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280,707</w:t>
            </w:r>
          </w:p>
        </w:tc>
        <w:tc>
          <w:tcPr>
            <w:tcW w:w="28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2"/>
                <w:szCs w:val="2"/>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1,240,907</w:t>
            </w:r>
          </w:p>
        </w:tc>
        <w:tc>
          <w:tcPr>
            <w:tcW w:w="0" w:type="dxa"/>
            <w:vAlign w:val="bottom"/>
          </w:tcPr>
          <w:p>
            <w:pPr>
              <w:spacing w:after="0" w:line="20" w:lineRule="exact"/>
              <w:rPr>
                <w:sz w:val="1"/>
                <w:szCs w:val="1"/>
                <w:color w:val="auto"/>
              </w:rPr>
            </w:pPr>
          </w:p>
        </w:tc>
      </w:tr>
      <w:tr>
        <w:trPr>
          <w:trHeight w:val="170"/>
        </w:trPr>
        <w:tc>
          <w:tcPr>
            <w:tcW w:w="2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Development</w:t>
            </w:r>
          </w:p>
        </w:tc>
        <w:tc>
          <w:tcPr>
            <w:tcW w:w="100" w:type="dxa"/>
            <w:vAlign w:val="bottom"/>
            <w:shd w:val="clear" w:color="auto" w:fill="CCEEFF"/>
          </w:tcPr>
          <w:p>
            <w:pPr>
              <w:spacing w:after="0"/>
              <w:rPr>
                <w:sz w:val="15"/>
                <w:szCs w:val="15"/>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210,139</w:t>
            </w:r>
          </w:p>
        </w:tc>
        <w:tc>
          <w:tcPr>
            <w:tcW w:w="100" w:type="dxa"/>
            <w:vAlign w:val="bottom"/>
          </w:tcPr>
          <w:p>
            <w:pPr>
              <w:spacing w:after="0"/>
              <w:rPr>
                <w:sz w:val="15"/>
                <w:szCs w:val="15"/>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280" w:type="dxa"/>
            <w:vAlign w:val="bottom"/>
          </w:tcPr>
          <w:p>
            <w:pPr>
              <w:jc w:val="right"/>
              <w:ind w:right="93"/>
              <w:spacing w:after="0"/>
              <w:rPr>
                <w:sz w:val="20"/>
                <w:szCs w:val="20"/>
                <w:color w:val="auto"/>
              </w:rPr>
            </w:pPr>
            <w:r>
              <w:rPr>
                <w:rFonts w:ascii="Arial" w:cs="Arial" w:eastAsia="Arial" w:hAnsi="Arial"/>
                <w:sz w:val="9"/>
                <w:szCs w:val="9"/>
                <w:color w:val="auto"/>
              </w:rPr>
              <w:t>(9)</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108,000</w:t>
            </w:r>
          </w:p>
        </w:tc>
        <w:tc>
          <w:tcPr>
            <w:tcW w:w="2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3,063</w:t>
            </w:r>
          </w:p>
        </w:tc>
        <w:tc>
          <w:tcPr>
            <w:tcW w:w="300" w:type="dxa"/>
            <w:vAlign w:val="bottom"/>
          </w:tcPr>
          <w:p>
            <w:pPr>
              <w:spacing w:after="0"/>
              <w:rPr>
                <w:sz w:val="15"/>
                <w:szCs w:val="15"/>
                <w:color w:val="auto"/>
              </w:rPr>
            </w:pP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771,202</w:t>
            </w:r>
          </w:p>
        </w:tc>
        <w:tc>
          <w:tcPr>
            <w:tcW w:w="0" w:type="dxa"/>
            <w:vAlign w:val="bottom"/>
          </w:tcPr>
          <w:p>
            <w:pPr>
              <w:spacing w:after="0"/>
              <w:rPr>
                <w:sz w:val="1"/>
                <w:szCs w:val="1"/>
                <w:color w:val="auto"/>
              </w:rPr>
            </w:pPr>
          </w:p>
        </w:tc>
      </w:tr>
      <w:tr>
        <w:trPr>
          <w:trHeight w:val="54"/>
        </w:trPr>
        <w:tc>
          <w:tcPr>
            <w:tcW w:w="2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411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jc w:val="both"/>
        <w:ind w:left="660" w:hanging="328"/>
        <w:spacing w:after="0" w:line="249" w:lineRule="auto"/>
        <w:tabs>
          <w:tab w:leader="none" w:pos="648" w:val="left"/>
        </w:tabs>
        <w:numPr>
          <w:ilvl w:val="0"/>
          <w:numId w:val="56"/>
        </w:numPr>
        <w:rPr>
          <w:rFonts w:ascii="Arial" w:cs="Arial" w:eastAsia="Arial" w:hAnsi="Arial"/>
          <w:sz w:val="22"/>
          <w:szCs w:val="22"/>
          <w:color w:val="auto"/>
          <w:vertAlign w:val="superscript"/>
        </w:rPr>
      </w:pPr>
      <w:r>
        <w:rPr>
          <w:rFonts w:ascii="Arial" w:cs="Arial" w:eastAsia="Arial" w:hAnsi="Arial"/>
          <w:sz w:val="17"/>
          <w:szCs w:val="17"/>
          <w:color w:val="auto"/>
        </w:rPr>
        <w:t>Amounts in this column represent the grant date fair value of restricted stock awards granted in the relevant fiscal year, calculated in accordance with FASB ASC Topic 718. The amounts shown disregard estimated forfeitures. Assumptions used in the calculation of these amounts for awards are included in Note 19 to the Consolidated Financial Statements included in this Annual Report on Form 10-K.</w:t>
      </w:r>
    </w:p>
    <w:p>
      <w:pPr>
        <w:spacing w:after="0" w:line="33" w:lineRule="exact"/>
        <w:rPr>
          <w:rFonts w:ascii="Arial" w:cs="Arial" w:eastAsia="Arial" w:hAnsi="Arial"/>
          <w:sz w:val="22"/>
          <w:szCs w:val="22"/>
          <w:color w:val="auto"/>
          <w:vertAlign w:val="superscript"/>
        </w:rPr>
      </w:pPr>
    </w:p>
    <w:p>
      <w:pPr>
        <w:jc w:val="both"/>
        <w:ind w:left="660" w:hanging="328"/>
        <w:spacing w:after="0" w:line="234" w:lineRule="auto"/>
        <w:tabs>
          <w:tab w:leader="none" w:pos="648"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Amounts in this column represent the grant date fair value of stock options granted in the relevant fiscal year, calculated in accordance with FASB ASC Topic 718. The amounts shown disregard estimated forfeitures. Assumptions used in the calculation of these amounts are included in Note 19 to the Consolidated Financial Statements included in this Annual Report on Form 10-K.</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9"/>
          <w:szCs w:val="9"/>
          <w:color w:val="auto"/>
        </w:rPr>
        <w:t>(3)</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left="20"/>
        <w:spacing w:after="0" w:line="293" w:lineRule="auto"/>
        <w:rPr>
          <w:sz w:val="20"/>
          <w:szCs w:val="20"/>
          <w:color w:val="auto"/>
        </w:rPr>
      </w:pPr>
      <w:r>
        <w:rPr>
          <w:rFonts w:ascii="Arial" w:cs="Arial" w:eastAsia="Arial" w:hAnsi="Arial"/>
          <w:sz w:val="16"/>
          <w:szCs w:val="16"/>
          <w:color w:val="auto"/>
        </w:rPr>
        <w:t>Mr. Stone was granted stock options on August 29, 2017, subject to the approval of the stockholders of the Company. As a result, pursuant to SEC rules and FASB ASC Topic 718, since the stock option grants were subject to stockholder approval, the grant date of such awards for purposes of FASB ASC Topic 718 and SEC disclosure rules was June 8, 2018, the date such option grants were approved by the stockholders. This date was also used to determine the grant date fair value of these stock options for purposes of FASB ASC Topic 718, which was $777,555. In addition, during 2018 Mr. Stone was granted additional stock options with a grant date fair value of $360,000. Assumptions used in the calculation of these amounts are included in Note 19 to the Consolidated Financial Statements included in this Annual Report on Form 10-K.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Consists of a payment under the 2020 Annual Bonus Plan.</w:t>
      </w:r>
    </w:p>
    <w:p>
      <w:pPr>
        <w:spacing w:after="0" w:line="63" w:lineRule="exact"/>
        <w:rPr>
          <w:sz w:val="20"/>
          <w:szCs w:val="20"/>
          <w:color w:val="auto"/>
        </w:rPr>
      </w:pPr>
    </w:p>
    <w:p>
      <w:pPr>
        <w:sectPr>
          <w:pgSz w:w="11900" w:h="16838" w:orient="portrait"/>
          <w:cols w:equalWidth="0" w:num="2">
            <w:col w:w="460" w:space="180"/>
            <w:col w:w="10600"/>
          </w:cols>
          <w:pgMar w:left="320" w:top="935" w:right="339" w:bottom="1440" w:gutter="0" w:footer="0" w:header="0"/>
          <w:type w:val="continuous"/>
        </w:sectPr>
      </w:pPr>
    </w:p>
    <w:p>
      <w:pPr>
        <w:ind w:left="660" w:hanging="328"/>
        <w:spacing w:after="0" w:line="227" w:lineRule="auto"/>
        <w:tabs>
          <w:tab w:leader="none" w:pos="648"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Consists of: (a) matching contributions we made to our 401(k) plan - $11,400, (b) the housing allowance paid to Mr. Monnet - $48,000 and (c) retention benefits under the Wind Down Retention Plan - $3,514,725.</w:t>
      </w:r>
    </w:p>
    <w:p>
      <w:pPr>
        <w:spacing w:after="0" w:line="40"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Consists of: (a) matching contributions we made to our 401(k) plan - $11,400, (b) the housing allowance paid to Mr. Imbrogno - $48,000 and (c) retention benefits under the Wind Down Retention Plan - $1,241,275.</w:t>
      </w:r>
    </w:p>
    <w:p>
      <w:pPr>
        <w:spacing w:after="0" w:line="40" w:lineRule="exact"/>
        <w:rPr>
          <w:rFonts w:ascii="Arial" w:cs="Arial" w:eastAsia="Arial" w:hAnsi="Arial"/>
          <w:sz w:val="23"/>
          <w:szCs w:val="23"/>
          <w:color w:val="auto"/>
          <w:vertAlign w:val="superscript"/>
        </w:rPr>
      </w:pPr>
    </w:p>
    <w:p>
      <w:pPr>
        <w:ind w:left="660" w:right="20" w:hanging="328"/>
        <w:spacing w:after="0" w:line="227" w:lineRule="auto"/>
        <w:tabs>
          <w:tab w:leader="none" w:pos="648"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Consists of: (a) payment under the 2020 Annual Bonus Plan - $382,445 and (b) the performance-based cash payment under the 2016/20 LTIP - $168,372.</w:t>
      </w:r>
    </w:p>
    <w:p>
      <w:pPr>
        <w:spacing w:after="0" w:line="40"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Consists of: (a) matching contributions we made to our 401(k) plan - $11,400 and (b) retention benefits under the Wind Down Retention Plan - $1,813,646.</w:t>
      </w:r>
    </w:p>
    <w:p>
      <w:pPr>
        <w:spacing w:after="0" w:line="40"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Consists of: (a) matching contributions we made to our 401(k) plan - $11,400 and (b) retention benefits under the Wind Down Retention Plan - $1,266,443.</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Consists of a signing bonus paid in connection with Dr. Jene’s employment with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each grant of plan-based awards made by the Company during 2020 to our named executive officers: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4"/>
              </w:rPr>
              <w:t>Estimated Future Payouts Under Non-Equity</w:t>
            </w:r>
          </w:p>
        </w:tc>
        <w:tc>
          <w:tcPr>
            <w:tcW w:w="1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Under Equity Incentive Plan</w:t>
            </w: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6"/>
          </w:tcPr>
          <w:p>
            <w:pPr>
              <w:jc w:val="center"/>
              <w:ind w:left="708"/>
              <w:spacing w:after="0" w:line="159" w:lineRule="exact"/>
              <w:rPr>
                <w:sz w:val="20"/>
                <w:szCs w:val="20"/>
                <w:color w:val="auto"/>
              </w:rPr>
            </w:pPr>
            <w:r>
              <w:rPr>
                <w:rFonts w:ascii="Arial" w:cs="Arial" w:eastAsia="Arial" w:hAnsi="Arial"/>
                <w:sz w:val="14"/>
                <w:szCs w:val="14"/>
                <w:b w:val="1"/>
                <w:bCs w:val="1"/>
                <w:color w:val="auto"/>
                <w:w w:val="92"/>
              </w:rPr>
              <w:t>Incentive Plan Awards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left="628"/>
              <w:spacing w:after="0" w:line="15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88"/>
              <w:spacing w:after="0" w:line="165"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left="628"/>
              <w:spacing w:after="0" w:line="165"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50"/>
        </w:trPr>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92"/>
        </w:trPr>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95"/>
              </w:rPr>
              <w:t>Approval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Stock or</w:t>
            </w:r>
          </w:p>
        </w:tc>
        <w:tc>
          <w:tcPr>
            <w:tcW w:w="9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215"/>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Threshold</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Target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Maximum</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Threshold</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Target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Units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3"/>
              <w:spacing w:after="0" w:line="214" w:lineRule="exact"/>
              <w:rPr>
                <w:sz w:val="20"/>
                <w:szCs w:val="20"/>
                <w:color w:val="auto"/>
              </w:rPr>
            </w:pPr>
            <w:r>
              <w:rPr>
                <w:rFonts w:ascii="Arial" w:cs="Arial" w:eastAsia="Arial" w:hAnsi="Arial"/>
                <w:sz w:val="24"/>
                <w:szCs w:val="24"/>
                <w:b w:val="1"/>
                <w:bCs w:val="1"/>
                <w:color w:val="auto"/>
                <w:w w:val="91"/>
                <w:vertAlign w:val="subscript"/>
              </w:rPr>
              <w:t>($)</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84"/>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Dominique Monnet</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1/8/2020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1/8/2020</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1,233,766</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3,800,000</w:t>
            </w:r>
          </w:p>
        </w:tc>
        <w:tc>
          <w:tcPr>
            <w:tcW w:w="0" w:type="dxa"/>
            <w:vAlign w:val="bottom"/>
          </w:tcPr>
          <w:p>
            <w:pPr>
              <w:spacing w:after="0"/>
              <w:rPr>
                <w:sz w:val="1"/>
                <w:szCs w:val="1"/>
                <w:color w:val="auto"/>
              </w:rPr>
            </w:pPr>
          </w:p>
        </w:tc>
      </w:tr>
      <w:tr>
        <w:trPr>
          <w:trHeight w:val="221"/>
        </w:trPr>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520,700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1,041,400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820" w:type="dxa"/>
            <w:vAlign w:val="bottom"/>
          </w:tcPr>
          <w:p>
            <w:pPr>
              <w:ind w:left="20"/>
              <w:spacing w:after="0"/>
              <w:rPr>
                <w:sz w:val="20"/>
                <w:szCs w:val="20"/>
                <w:color w:val="auto"/>
              </w:rPr>
            </w:pPr>
            <w:r>
              <w:rPr>
                <w:rFonts w:ascii="Arial" w:cs="Arial" w:eastAsia="Arial" w:hAnsi="Arial"/>
                <w:sz w:val="14"/>
                <w:szCs w:val="14"/>
                <w:color w:val="auto"/>
              </w:rPr>
              <w:t>Edward Imbrogno</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1/8/2020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1/8/2020</w:t>
            </w:r>
          </w:p>
        </w:tc>
        <w:tc>
          <w:tcPr>
            <w:tcW w:w="100" w:type="dxa"/>
            <w:vAlign w:val="bottom"/>
          </w:tcPr>
          <w:p>
            <w:pPr>
              <w:spacing w:after="0"/>
              <w:rPr>
                <w:sz w:val="16"/>
                <w:szCs w:val="16"/>
                <w:color w:val="auto"/>
              </w:rPr>
            </w:pPr>
          </w:p>
        </w:tc>
        <w:tc>
          <w:tcPr>
            <w:tcW w:w="102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292,208</w:t>
            </w:r>
          </w:p>
        </w:tc>
        <w:tc>
          <w:tcPr>
            <w:tcW w:w="100" w:type="dxa"/>
            <w:vAlign w:val="bottom"/>
          </w:tcPr>
          <w:p>
            <w:pPr>
              <w:spacing w:after="0"/>
              <w:rPr>
                <w:sz w:val="16"/>
                <w:szCs w:val="16"/>
                <w:color w:val="auto"/>
              </w:rPr>
            </w:pPr>
          </w:p>
        </w:tc>
        <w:tc>
          <w:tcPr>
            <w:tcW w:w="9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235"/>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265,988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531,976</w:t>
            </w:r>
          </w:p>
        </w:tc>
        <w:tc>
          <w:tcPr>
            <w:tcW w:w="100" w:type="dxa"/>
            <w:vAlign w:val="bottom"/>
          </w:tcPr>
          <w:p>
            <w:pPr>
              <w:spacing w:after="0"/>
              <w:rPr>
                <w:sz w:val="20"/>
                <w:szCs w:val="20"/>
                <w:color w:val="auto"/>
              </w:rPr>
            </w:pPr>
          </w:p>
        </w:tc>
        <w:tc>
          <w:tcPr>
            <w:tcW w:w="126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9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Christopher Stone</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1/8/2020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1/8/2020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422,078</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1,300,000</w:t>
            </w:r>
          </w:p>
        </w:tc>
        <w:tc>
          <w:tcPr>
            <w:tcW w:w="0" w:type="dxa"/>
            <w:vAlign w:val="bottom"/>
          </w:tcPr>
          <w:p>
            <w:pPr>
              <w:spacing w:after="0"/>
              <w:rPr>
                <w:sz w:val="1"/>
                <w:szCs w:val="1"/>
                <w:color w:val="auto"/>
              </w:rPr>
            </w:pPr>
          </w:p>
        </w:tc>
      </w:tr>
      <w:tr>
        <w:trPr>
          <w:trHeight w:val="221"/>
        </w:trPr>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382,445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764,890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820" w:type="dxa"/>
            <w:vAlign w:val="bottom"/>
          </w:tcPr>
          <w:p>
            <w:pPr>
              <w:ind w:left="20"/>
              <w:spacing w:after="0"/>
              <w:rPr>
                <w:sz w:val="20"/>
                <w:szCs w:val="20"/>
                <w:color w:val="auto"/>
              </w:rPr>
            </w:pPr>
            <w:r>
              <w:rPr>
                <w:rFonts w:ascii="Arial" w:cs="Arial" w:eastAsia="Arial" w:hAnsi="Arial"/>
                <w:sz w:val="14"/>
                <w:szCs w:val="14"/>
                <w:color w:val="auto"/>
              </w:rPr>
              <w:t>Jill Jene</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1/8/2020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1/8/2020</w:t>
            </w:r>
          </w:p>
        </w:tc>
        <w:tc>
          <w:tcPr>
            <w:tcW w:w="100" w:type="dxa"/>
            <w:vAlign w:val="bottom"/>
          </w:tcPr>
          <w:p>
            <w:pPr>
              <w:spacing w:after="0"/>
              <w:rPr>
                <w:sz w:val="16"/>
                <w:szCs w:val="16"/>
                <w:color w:val="auto"/>
              </w:rPr>
            </w:pPr>
          </w:p>
        </w:tc>
        <w:tc>
          <w:tcPr>
            <w:tcW w:w="102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194,805</w:t>
            </w:r>
          </w:p>
        </w:tc>
        <w:tc>
          <w:tcPr>
            <w:tcW w:w="100" w:type="dxa"/>
            <w:vAlign w:val="bottom"/>
          </w:tcPr>
          <w:p>
            <w:pPr>
              <w:spacing w:after="0"/>
              <w:rPr>
                <w:sz w:val="16"/>
                <w:szCs w:val="16"/>
                <w:color w:val="auto"/>
              </w:rPr>
            </w:pPr>
          </w:p>
        </w:tc>
        <w:tc>
          <w:tcPr>
            <w:tcW w:w="9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269,216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538,432</w:t>
            </w:r>
          </w:p>
        </w:tc>
        <w:tc>
          <w:tcPr>
            <w:tcW w:w="100" w:type="dxa"/>
            <w:vAlign w:val="bottom"/>
          </w:tcPr>
          <w:p>
            <w:pPr>
              <w:spacing w:after="0"/>
              <w:rPr>
                <w:sz w:val="18"/>
                <w:szCs w:val="18"/>
                <w:color w:val="auto"/>
              </w:rPr>
            </w:pPr>
          </w:p>
        </w:tc>
        <w:tc>
          <w:tcPr>
            <w:tcW w:w="126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63" w:lineRule="exact"/>
        <w:rPr>
          <w:sz w:val="20"/>
          <w:szCs w:val="20"/>
          <w:color w:val="auto"/>
        </w:rPr>
      </w:pPr>
    </w:p>
    <w:p>
      <w:pPr>
        <w:jc w:val="both"/>
        <w:ind w:left="660" w:hanging="328"/>
        <w:spacing w:after="0" w:line="234" w:lineRule="auto"/>
        <w:tabs>
          <w:tab w:leader="none" w:pos="648" w:val="left"/>
        </w:tabs>
        <w:numPr>
          <w:ilvl w:val="0"/>
          <w:numId w:val="58"/>
        </w:numPr>
        <w:rPr>
          <w:rFonts w:ascii="Arial" w:cs="Arial" w:eastAsia="Arial" w:hAnsi="Arial"/>
          <w:sz w:val="23"/>
          <w:szCs w:val="23"/>
          <w:color w:val="auto"/>
          <w:vertAlign w:val="superscript"/>
        </w:rPr>
      </w:pPr>
      <w:r>
        <w:rPr>
          <w:rFonts w:ascii="Arial" w:cs="Arial" w:eastAsia="Arial" w:hAnsi="Arial"/>
          <w:sz w:val="18"/>
          <w:szCs w:val="18"/>
          <w:color w:val="auto"/>
        </w:rPr>
        <w:t>The amounts in the below columns relate to the Company’s 2020 Annual Bonus Plan. Actual amounts paid in December 2020 under the 2020 Annual Bonus Plan were based on the Compensation Committee’s review of corporate performance and are included in the “Non-Equity Incentive Plan Compensation” column of the Summary Compensation Table.</w:t>
      </w:r>
    </w:p>
    <w:p>
      <w:pPr>
        <w:spacing w:after="0" w:line="40" w:lineRule="exact"/>
        <w:rPr>
          <w:rFonts w:ascii="Arial" w:cs="Arial" w:eastAsia="Arial" w:hAnsi="Arial"/>
          <w:sz w:val="23"/>
          <w:szCs w:val="23"/>
          <w:color w:val="auto"/>
          <w:vertAlign w:val="superscript"/>
        </w:rPr>
      </w:pPr>
    </w:p>
    <w:p>
      <w:pPr>
        <w:jc w:val="both"/>
        <w:ind w:left="660" w:hanging="328"/>
        <w:spacing w:after="0" w:line="249" w:lineRule="auto"/>
        <w:tabs>
          <w:tab w:leader="none" w:pos="648" w:val="left"/>
        </w:tabs>
        <w:numPr>
          <w:ilvl w:val="0"/>
          <w:numId w:val="58"/>
        </w:numPr>
        <w:rPr>
          <w:rFonts w:ascii="Arial" w:cs="Arial" w:eastAsia="Arial" w:hAnsi="Arial"/>
          <w:sz w:val="22"/>
          <w:szCs w:val="22"/>
          <w:color w:val="auto"/>
          <w:vertAlign w:val="superscript"/>
        </w:rPr>
      </w:pPr>
      <w:r>
        <w:rPr>
          <w:rFonts w:ascii="Arial" w:cs="Arial" w:eastAsia="Arial" w:hAnsi="Arial"/>
          <w:sz w:val="17"/>
          <w:szCs w:val="17"/>
          <w:color w:val="auto"/>
        </w:rPr>
        <w:t>Reflects shares of restricted stock granted to our named executive officers in 2020. 40% of the restricted stock was scheduled to vest on the first anniversary of the grant date, with 2.5% vesting monthly thereafter. In February 2020, in connection with the Board adopting the Plan of Liquidation, all of the restricted stock accelerated and vested under the change in control definition in the Equity Plan.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24" w:name="page125"/>
    <w:bookmarkEnd w:id="124"/>
    <w:p>
      <w:pPr>
        <w:ind w:left="640" w:hanging="308"/>
        <w:spacing w:after="0"/>
        <w:tabs>
          <w:tab w:leader="none" w:pos="640"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Amounts in this column represent the grant date fair value of restricted stock granted in 2020, calculated in accordance with FASB ASC Topic</w:t>
      </w:r>
    </w:p>
    <w:p>
      <w:pPr>
        <w:spacing w:after="0" w:line="1" w:lineRule="exact"/>
        <w:rPr>
          <w:rFonts w:ascii="Arial" w:cs="Arial" w:eastAsia="Arial" w:hAnsi="Arial"/>
          <w:sz w:val="21"/>
          <w:szCs w:val="21"/>
          <w:color w:val="auto"/>
          <w:vertAlign w:val="superscript"/>
        </w:rPr>
      </w:pPr>
    </w:p>
    <w:p>
      <w:pPr>
        <w:ind w:left="660" w:hanging="4"/>
        <w:spacing w:after="0" w:line="258" w:lineRule="auto"/>
        <w:tabs>
          <w:tab w:leader="none" w:pos="1039"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amounts shown disregard estimated forfeitures. Assumptions used in the calculation of these amounts are included in Note 19 to the Consolidated Financial Statements included in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2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sets forth information concerning stock options held by the named executive officers as of December 31, 2020 (there are no outstanding restricted stock awards as of such date):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of Securities Underlying</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 Exercise</w:t>
            </w:r>
          </w:p>
        </w:tc>
        <w:tc>
          <w:tcPr>
            <w:tcW w:w="1840" w:type="dxa"/>
            <w:vAlign w:val="bottom"/>
          </w:tcPr>
          <w:p>
            <w:pPr>
              <w:spacing w:after="0"/>
              <w:rPr>
                <w:sz w:val="14"/>
                <w:szCs w:val="14"/>
                <w:color w:val="auto"/>
              </w:rPr>
            </w:pPr>
          </w:p>
        </w:tc>
      </w:tr>
      <w:tr>
        <w:trPr>
          <w:trHeight w:val="215"/>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Unexercised Options (#) Exercisable</w:t>
            </w:r>
            <w:r>
              <w:rPr>
                <w:rFonts w:ascii="Arial" w:cs="Arial" w:eastAsia="Arial" w:hAnsi="Arial"/>
                <w:sz w:val="18"/>
                <w:szCs w:val="18"/>
                <w:b w:val="1"/>
                <w:bCs w:val="1"/>
                <w:color w:val="auto"/>
                <w:w w:val="90"/>
                <w:vertAlign w:val="superscript"/>
              </w:rPr>
              <w:t>(1)</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Price ($)</w:t>
            </w:r>
            <w:r>
              <w:rPr>
                <w:rFonts w:ascii="Arial" w:cs="Arial" w:eastAsia="Arial" w:hAnsi="Arial"/>
                <w:sz w:val="18"/>
                <w:szCs w:val="18"/>
                <w:b w:val="1"/>
                <w:bCs w:val="1"/>
                <w:color w:val="auto"/>
                <w:w w:val="91"/>
                <w:vertAlign w:val="superscript"/>
              </w:rPr>
              <w:t>(2)</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Option Expiration Date</w:t>
            </w:r>
          </w:p>
        </w:tc>
      </w:tr>
      <w:tr>
        <w:trPr>
          <w:trHeight w:val="184"/>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Dominique Monnet</w:t>
            </w:r>
          </w:p>
        </w:tc>
        <w:tc>
          <w:tcPr>
            <w:tcW w:w="24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961,000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$1.85</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9/10/2027</w:t>
            </w:r>
          </w:p>
        </w:tc>
      </w:tr>
      <w:tr>
        <w:trPr>
          <w:trHeight w:val="216"/>
        </w:trPr>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1,479,944</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$1.16</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9/25/2028</w:t>
            </w:r>
          </w:p>
        </w:tc>
      </w:tr>
      <w:tr>
        <w:trPr>
          <w:trHeight w:val="222"/>
        </w:trPr>
        <w:tc>
          <w:tcPr>
            <w:tcW w:w="5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2,450,000</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$2.36</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3/28/2029</w:t>
            </w:r>
          </w:p>
        </w:tc>
      </w:tr>
      <w:tr>
        <w:trPr>
          <w:trHeight w:val="190"/>
        </w:trPr>
        <w:tc>
          <w:tcPr>
            <w:tcW w:w="5420" w:type="dxa"/>
            <w:vAlign w:val="bottom"/>
          </w:tcPr>
          <w:p>
            <w:pPr>
              <w:ind w:left="20"/>
              <w:spacing w:after="0"/>
              <w:rPr>
                <w:sz w:val="20"/>
                <w:szCs w:val="20"/>
                <w:color w:val="auto"/>
              </w:rPr>
            </w:pPr>
            <w:r>
              <w:rPr>
                <w:rFonts w:ascii="Arial" w:cs="Arial" w:eastAsia="Arial" w:hAnsi="Arial"/>
                <w:sz w:val="14"/>
                <w:szCs w:val="14"/>
                <w:color w:val="auto"/>
              </w:rPr>
              <w:t>Edward Imbrogno</w:t>
            </w:r>
          </w:p>
        </w:tc>
        <w:tc>
          <w:tcPr>
            <w:tcW w:w="24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288,611</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$1.32</w:t>
            </w: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12/20/2028</w:t>
            </w:r>
          </w:p>
        </w:tc>
      </w:tr>
      <w:tr>
        <w:trPr>
          <w:trHeight w:val="216"/>
        </w:trPr>
        <w:tc>
          <w:tcPr>
            <w:tcW w:w="5420" w:type="dxa"/>
            <w:vAlign w:val="bottom"/>
          </w:tcPr>
          <w:p>
            <w:pPr>
              <w:spacing w:after="0"/>
              <w:rPr>
                <w:sz w:val="18"/>
                <w:szCs w:val="18"/>
                <w:color w:val="auto"/>
              </w:rPr>
            </w:pPr>
          </w:p>
        </w:tc>
        <w:tc>
          <w:tcPr>
            <w:tcW w:w="24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108,766</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$2.33</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3/25/2029</w:t>
            </w:r>
          </w:p>
        </w:tc>
      </w:tr>
      <w:tr>
        <w:trPr>
          <w:trHeight w:val="26"/>
        </w:trPr>
        <w:tc>
          <w:tcPr>
            <w:tcW w:w="542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90"/>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Christopher Stone</w:t>
            </w:r>
          </w:p>
        </w:tc>
        <w:tc>
          <w:tcPr>
            <w:tcW w:w="24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700,500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$1.58</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8/28/2027</w:t>
            </w:r>
          </w:p>
        </w:tc>
      </w:tr>
      <w:tr>
        <w:trPr>
          <w:trHeight w:val="229"/>
        </w:trPr>
        <w:tc>
          <w:tcPr>
            <w:tcW w:w="5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339,623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9/25/2028</w:t>
            </w:r>
          </w:p>
        </w:tc>
      </w:tr>
      <w:tr>
        <w:trPr>
          <w:trHeight w:val="228"/>
        </w:trPr>
        <w:tc>
          <w:tcPr>
            <w:tcW w:w="5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833,333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$2.36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3/28/2029</w:t>
            </w:r>
          </w:p>
        </w:tc>
      </w:tr>
      <w:tr>
        <w:trPr>
          <w:trHeight w:val="202"/>
        </w:trPr>
        <w:tc>
          <w:tcPr>
            <w:tcW w:w="5420" w:type="dxa"/>
            <w:vAlign w:val="bottom"/>
          </w:tcPr>
          <w:p>
            <w:pPr>
              <w:ind w:left="20"/>
              <w:spacing w:after="0"/>
              <w:rPr>
                <w:sz w:val="20"/>
                <w:szCs w:val="20"/>
                <w:color w:val="auto"/>
              </w:rPr>
            </w:pPr>
            <w:r>
              <w:rPr>
                <w:rFonts w:ascii="Arial" w:cs="Arial" w:eastAsia="Arial" w:hAnsi="Arial"/>
                <w:sz w:val="14"/>
                <w:szCs w:val="14"/>
                <w:color w:val="auto"/>
              </w:rPr>
              <w:t>Jill Jene</w:t>
            </w:r>
          </w:p>
        </w:tc>
        <w:tc>
          <w:tcPr>
            <w:tcW w:w="2480" w:type="dxa"/>
            <w:vAlign w:val="bottom"/>
            <w:gridSpan w:val="2"/>
          </w:tcPr>
          <w:p>
            <w:pPr>
              <w:jc w:val="center"/>
              <w:ind w:left="28"/>
              <w:spacing w:after="0"/>
              <w:rPr>
                <w:sz w:val="20"/>
                <w:szCs w:val="20"/>
                <w:color w:val="auto"/>
              </w:rPr>
            </w:pPr>
            <w:r>
              <w:rPr>
                <w:rFonts w:ascii="Arial" w:cs="Arial" w:eastAsia="Arial" w:hAnsi="Arial"/>
                <w:sz w:val="14"/>
                <w:szCs w:val="14"/>
                <w:color w:val="auto"/>
                <w:w w:val="90"/>
              </w:rPr>
              <w:t>384,615</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$2.36</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3/28/2029</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6"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All stock options vested in February 2020 per the terms of the Equity Plan.</w:t>
      </w:r>
    </w:p>
    <w:p>
      <w:pPr>
        <w:spacing w:after="0" w:line="55" w:lineRule="exact"/>
        <w:rPr>
          <w:rFonts w:ascii="Arial" w:cs="Arial" w:eastAsia="Arial" w:hAnsi="Arial"/>
          <w:sz w:val="23"/>
          <w:szCs w:val="23"/>
          <w:color w:val="auto"/>
          <w:vertAlign w:val="superscript"/>
        </w:rPr>
      </w:pPr>
    </w:p>
    <w:p>
      <w:pPr>
        <w:ind w:left="660" w:hanging="328"/>
        <w:spacing w:after="0" w:line="219" w:lineRule="auto"/>
        <w:tabs>
          <w:tab w:leader="none" w:pos="648" w:val="left"/>
        </w:tabs>
        <w:numPr>
          <w:ilvl w:val="0"/>
          <w:numId w:val="60"/>
        </w:numPr>
        <w:rPr>
          <w:rFonts w:ascii="Arial" w:cs="Arial" w:eastAsia="Arial" w:hAnsi="Arial"/>
          <w:sz w:val="23"/>
          <w:szCs w:val="23"/>
          <w:color w:val="auto"/>
          <w:vertAlign w:val="superscript"/>
        </w:rPr>
      </w:pPr>
      <w:r>
        <w:rPr>
          <w:rFonts w:ascii="Arial" w:cs="Arial" w:eastAsia="Arial" w:hAnsi="Arial"/>
          <w:sz w:val="18"/>
          <w:szCs w:val="18"/>
          <w:color w:val="auto"/>
        </w:rPr>
        <w:t>Represents stock option exercise price, as adjusted on a dollar-for-dollar basis to reflect the per share value of the distributions of LENSAR common stock and Evofem common stock that occurred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2020</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(i) the number of options exercised by the named executive officers during 2020 and (ii) restricted shares granted to our named executive officers that vested during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Options Exercised</w:t>
            </w:r>
          </w:p>
        </w:tc>
        <w:tc>
          <w:tcPr>
            <w:tcW w:w="30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3"/>
              </w:rPr>
              <w:t>Number of Options</w:t>
            </w:r>
          </w:p>
        </w:tc>
        <w:tc>
          <w:tcPr>
            <w:tcW w:w="120" w:type="dxa"/>
            <w:vAlign w:val="bottom"/>
          </w:tcPr>
          <w:p>
            <w:pPr>
              <w:spacing w:after="0"/>
              <w:rPr>
                <w:sz w:val="13"/>
                <w:szCs w:val="13"/>
                <w:color w:val="auto"/>
              </w:rPr>
            </w:pPr>
          </w:p>
        </w:tc>
        <w:tc>
          <w:tcPr>
            <w:tcW w:w="1320" w:type="dxa"/>
            <w:vAlign w:val="bottom"/>
          </w:tcPr>
          <w:p>
            <w:pPr>
              <w:jc w:val="right"/>
              <w:ind w:right="108"/>
              <w:spacing w:after="0" w:line="160" w:lineRule="exact"/>
              <w:rPr>
                <w:sz w:val="20"/>
                <w:szCs w:val="20"/>
                <w:color w:val="auto"/>
              </w:rPr>
            </w:pPr>
            <w:r>
              <w:rPr>
                <w:rFonts w:ascii="Arial" w:cs="Arial" w:eastAsia="Arial" w:hAnsi="Arial"/>
                <w:sz w:val="14"/>
                <w:szCs w:val="14"/>
                <w:b w:val="1"/>
                <w:bCs w:val="1"/>
                <w:color w:val="auto"/>
                <w:w w:val="94"/>
              </w:rPr>
              <w:t>Value Realized on</w:t>
            </w:r>
          </w:p>
        </w:tc>
        <w:tc>
          <w:tcPr>
            <w:tcW w:w="300" w:type="dxa"/>
            <w:vAlign w:val="bottom"/>
          </w:tcPr>
          <w:p>
            <w:pPr>
              <w:spacing w:after="0"/>
              <w:rPr>
                <w:sz w:val="13"/>
                <w:szCs w:val="13"/>
                <w:color w:val="auto"/>
              </w:rPr>
            </w:pPr>
          </w:p>
        </w:tc>
        <w:tc>
          <w:tcPr>
            <w:tcW w:w="208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3"/>
              </w:rPr>
              <w:t>Number of Shares Acquired on</w:t>
            </w:r>
          </w:p>
        </w:tc>
        <w:tc>
          <w:tcPr>
            <w:tcW w:w="180" w:type="dxa"/>
            <w:vAlign w:val="bottom"/>
          </w:tcPr>
          <w:p>
            <w:pPr>
              <w:spacing w:after="0"/>
              <w:rPr>
                <w:sz w:val="13"/>
                <w:szCs w:val="13"/>
                <w:color w:val="auto"/>
              </w:rPr>
            </w:pPr>
          </w:p>
        </w:tc>
        <w:tc>
          <w:tcPr>
            <w:tcW w:w="134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w w:val="92"/>
              </w:rPr>
              <w:t>Value Realized on</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Exercised (#)</w:t>
            </w:r>
          </w:p>
        </w:tc>
        <w:tc>
          <w:tcPr>
            <w:tcW w:w="12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Exercise ($)</w:t>
            </w:r>
          </w:p>
        </w:tc>
        <w:tc>
          <w:tcPr>
            <w:tcW w:w="30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Vesting (#)</w:t>
            </w:r>
          </w:p>
        </w:tc>
        <w:tc>
          <w:tcPr>
            <w:tcW w:w="180" w:type="dxa"/>
            <w:vAlign w:val="bottom"/>
          </w:tcPr>
          <w:p>
            <w:pPr>
              <w:spacing w:after="0"/>
              <w:rPr>
                <w:sz w:val="16"/>
                <w:szCs w:val="16"/>
                <w:color w:val="auto"/>
              </w:rPr>
            </w:pPr>
          </w:p>
        </w:tc>
        <w:tc>
          <w:tcPr>
            <w:tcW w:w="1340" w:type="dxa"/>
            <w:vAlign w:val="bottom"/>
          </w:tcPr>
          <w:p>
            <w:pPr>
              <w:jc w:val="right"/>
              <w:ind w:right="368"/>
              <w:spacing w:after="0"/>
              <w:rPr>
                <w:sz w:val="20"/>
                <w:szCs w:val="20"/>
                <w:color w:val="auto"/>
              </w:rPr>
            </w:pPr>
            <w:r>
              <w:rPr>
                <w:rFonts w:ascii="Arial" w:cs="Arial" w:eastAsia="Arial" w:hAnsi="Arial"/>
                <w:sz w:val="14"/>
                <w:szCs w:val="14"/>
                <w:b w:val="1"/>
                <w:bCs w:val="1"/>
                <w:color w:val="auto"/>
              </w:rPr>
              <w:t>Vesting ($)</w:t>
            </w:r>
          </w:p>
        </w:tc>
        <w:tc>
          <w:tcPr>
            <w:tcW w:w="280" w:type="dxa"/>
            <w:vAlign w:val="bottom"/>
            <w:vMerge w:val="restart"/>
          </w:tcPr>
          <w:p>
            <w:pPr>
              <w:jc w:val="right"/>
              <w:ind w:right="113"/>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25"/>
        </w:trPr>
        <w:tc>
          <w:tcPr>
            <w:tcW w:w="3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Dominique Monnet</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1,764,908</w:t>
            </w:r>
          </w:p>
        </w:tc>
        <w:tc>
          <w:tcPr>
            <w:tcW w:w="1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6,194,827</w:t>
            </w: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Edward Imbrogno</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314,565</w:t>
            </w:r>
          </w:p>
        </w:tc>
        <w:tc>
          <w:tcPr>
            <w:tcW w:w="1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1,104,123</w:t>
            </w:r>
          </w:p>
        </w:tc>
        <w:tc>
          <w:tcPr>
            <w:tcW w:w="280" w:type="dxa"/>
            <w:vAlign w:val="bottom"/>
          </w:tcPr>
          <w:p>
            <w:pPr>
              <w:jc w:val="right"/>
              <w:ind w:right="113"/>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Christopher Stone</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444,488</w:t>
            </w:r>
          </w:p>
        </w:tc>
        <w:tc>
          <w:tcPr>
            <w:tcW w:w="1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1,538,191</w:t>
            </w:r>
          </w:p>
        </w:tc>
        <w:tc>
          <w:tcPr>
            <w:tcW w:w="280" w:type="dxa"/>
            <w:vAlign w:val="bottom"/>
          </w:tcPr>
          <w:p>
            <w:pPr>
              <w:jc w:val="right"/>
              <w:ind w:right="113"/>
              <w:spacing w:after="0"/>
              <w:rPr>
                <w:sz w:val="20"/>
                <w:szCs w:val="20"/>
                <w:color w:val="auto"/>
              </w:rPr>
            </w:pPr>
            <w:r>
              <w:rPr>
                <w:rFonts w:ascii="Arial" w:cs="Arial" w:eastAsia="Arial" w:hAnsi="Arial"/>
                <w:sz w:val="9"/>
                <w:szCs w:val="9"/>
                <w:color w:val="auto"/>
                <w:w w:val="90"/>
              </w:rPr>
              <w:t>(2)</w:t>
            </w:r>
          </w:p>
        </w:tc>
        <w:tc>
          <w:tcPr>
            <w:tcW w:w="0" w:type="dxa"/>
            <w:vAlign w:val="bottom"/>
          </w:tcPr>
          <w:p>
            <w:pPr>
              <w:spacing w:after="0"/>
              <w:rPr>
                <w:sz w:val="1"/>
                <w:szCs w:val="1"/>
                <w:color w:val="auto"/>
              </w:rPr>
            </w:pPr>
          </w:p>
        </w:tc>
      </w:tr>
      <w:tr>
        <w:trPr>
          <w:trHeight w:val="228"/>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Jill Jene</w:t>
            </w:r>
          </w:p>
        </w:tc>
        <w:tc>
          <w:tcPr>
            <w:tcW w:w="1660" w:type="dxa"/>
            <w:vAlign w:val="bottom"/>
          </w:tcPr>
          <w:p>
            <w:pPr>
              <w:jc w:val="right"/>
              <w:spacing w:after="0"/>
              <w:rPr>
                <w:sz w:val="20"/>
                <w:szCs w:val="20"/>
                <w:color w:val="auto"/>
              </w:rPr>
            </w:pPr>
            <w:r>
              <w:rPr>
                <w:rFonts w:ascii="Arial" w:cs="Arial" w:eastAsia="Arial" w:hAnsi="Arial"/>
                <w:sz w:val="14"/>
                <w:szCs w:val="14"/>
                <w:color w:val="auto"/>
              </w:rPr>
              <w:t>377,358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407,547</w:t>
            </w:r>
          </w:p>
        </w:tc>
        <w:tc>
          <w:tcPr>
            <w:tcW w:w="300" w:type="dxa"/>
            <w:vAlign w:val="bottom"/>
          </w:tcPr>
          <w:p>
            <w:pPr>
              <w:jc w:val="right"/>
              <w:spacing w:after="0"/>
              <w:rPr>
                <w:sz w:val="20"/>
                <w:szCs w:val="20"/>
                <w:color w:val="auto"/>
              </w:rPr>
            </w:pPr>
            <w:r>
              <w:rPr>
                <w:rFonts w:ascii="Arial" w:cs="Arial" w:eastAsia="Arial" w:hAnsi="Arial"/>
                <w:sz w:val="9"/>
                <w:szCs w:val="9"/>
                <w:color w:val="auto"/>
              </w:rPr>
              <w:t>(3)</w:t>
            </w:r>
          </w:p>
        </w:tc>
        <w:tc>
          <w:tcPr>
            <w:tcW w:w="1980" w:type="dxa"/>
            <w:vAlign w:val="bottom"/>
          </w:tcPr>
          <w:p>
            <w:pPr>
              <w:jc w:val="right"/>
              <w:spacing w:after="0"/>
              <w:rPr>
                <w:sz w:val="20"/>
                <w:szCs w:val="20"/>
                <w:color w:val="auto"/>
              </w:rPr>
            </w:pPr>
            <w:r>
              <w:rPr>
                <w:rFonts w:ascii="Arial" w:cs="Arial" w:eastAsia="Arial" w:hAnsi="Arial"/>
                <w:sz w:val="14"/>
                <w:szCs w:val="14"/>
                <w:color w:val="auto"/>
              </w:rPr>
              <w:t>194,805</w:t>
            </w:r>
          </w:p>
        </w:tc>
        <w:tc>
          <w:tcPr>
            <w:tcW w:w="10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683,766</w:t>
            </w:r>
          </w:p>
        </w:tc>
        <w:tc>
          <w:tcPr>
            <w:tcW w:w="280" w:type="dxa"/>
            <w:vAlign w:val="bottom"/>
          </w:tcPr>
          <w:p>
            <w:pPr>
              <w:jc w:val="right"/>
              <w:ind w:right="113"/>
              <w:spacing w:after="0"/>
              <w:rPr>
                <w:sz w:val="20"/>
                <w:szCs w:val="20"/>
                <w:color w:val="auto"/>
              </w:rPr>
            </w:pPr>
            <w:r>
              <w:rPr>
                <w:rFonts w:ascii="Arial" w:cs="Arial" w:eastAsia="Arial" w:hAnsi="Arial"/>
                <w:sz w:val="9"/>
                <w:szCs w:val="9"/>
                <w:color w:val="auto"/>
                <w:w w:val="90"/>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w:t>
      </w:r>
    </w:p>
    <w:p>
      <w:pPr>
        <w:spacing w:after="0" w:line="29"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Value based on the “closing” price of the shares on the vesting date, February 7, 2020 ($3.51).</w:t>
      </w:r>
    </w:p>
    <w:p>
      <w:pPr>
        <w:spacing w:after="0" w:line="55" w:lineRule="exact"/>
        <w:rPr>
          <w:rFonts w:ascii="Arial" w:cs="Arial" w:eastAsia="Arial" w:hAnsi="Arial"/>
          <w:sz w:val="23"/>
          <w:szCs w:val="23"/>
          <w:color w:val="auto"/>
          <w:vertAlign w:val="superscript"/>
        </w:rPr>
      </w:pPr>
    </w:p>
    <w:p>
      <w:pPr>
        <w:ind w:left="660" w:right="180" w:hanging="328"/>
        <w:spacing w:after="0" w:line="219" w:lineRule="auto"/>
        <w:tabs>
          <w:tab w:leader="none" w:pos="648"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Value based on the “closing” price of the shares on (i) the vesting date, February 7, 2020 ($1,481,494) with respect to 422,078 shares and (ii) the vesting date December 2, 2020 ($56,697) with respect to 22,410 shares.</w:t>
      </w:r>
    </w:p>
    <w:p>
      <w:pPr>
        <w:spacing w:after="0" w:line="39" w:lineRule="exact"/>
        <w:rPr>
          <w:rFonts w:ascii="Arial" w:cs="Arial" w:eastAsia="Arial" w:hAnsi="Arial"/>
          <w:sz w:val="23"/>
          <w:szCs w:val="23"/>
          <w:color w:val="auto"/>
          <w:vertAlign w:val="superscript"/>
        </w:rPr>
      </w:pPr>
    </w:p>
    <w:p>
      <w:pPr>
        <w:ind w:left="660" w:right="200" w:hanging="328"/>
        <w:spacing w:after="0" w:line="227" w:lineRule="auto"/>
        <w:tabs>
          <w:tab w:leader="none" w:pos="648"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Value based on the difference between the exercise price ($1.16) and the “closing” price of the shares on the date of exercise, November 5, 2020 ($2.24).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Arrangements with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 Down Retention Plan</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After we announced our strategy to monetize our assets and distribute net proceeds to our stockholders, on December 21, 2019, the Compensation Committee of the Board adopted the Wind Down Retention Plan in which the Company’s executive officers and other employees who are participants in the Company’s Severance Plan are eligible to participate. All payments and other benefits paid out under the Wind Down Retention Plan are in lieu of, and not in addition to, the payments under the Severance Plan. For a further description of the Wind Down Retention Plan, see "--Wind Down Retention Plan" above.</w:t>
      </w:r>
    </w:p>
    <w:p>
      <w:pPr>
        <w:sectPr>
          <w:pgSz w:w="11900" w:h="16838" w:orient="portrait"/>
          <w:cols w:equalWidth="0" w:num="1">
            <w:col w:w="11240"/>
          </w:cols>
          <w:pgMar w:left="320" w:top="978"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5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terms of the Wind Down Retention Plan superseded any other severance arrangements with respect to any cash retention payments to be paid upon termination or a Change in Control. In addition, all outstanding equity awards vested in February and December of 2020 under the Wind Down Retention Plan. There are no further cash retention payments payable to any named executive officers as a result of termination or a Change in Control as of December 31, 2020 under the Wind Down Retention Plan or any other severance arrangements between the Company and any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Jill Jene Separation Agreement</w:t>
      </w:r>
    </w:p>
    <w:p>
      <w:pPr>
        <w:spacing w:after="0" w:line="2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August 15, 2020, we entered into a Confidential Severance Agreement and Release of All Claims with Jill Jene, Ph.D., our former Vice President, Business Development, which agreement is a condition under the Wind Down Retention Plan for the payment of the cash retention payment. Under the severance agreement, Dr. Jene agreed to a general release of claims in our favor and a covenant not to sue, among other promises. In consideration for her release of claims and covenants, Dr. Jene received a one-time payment of $1,266,443. In addition, Dr. Jene was retained as a consultant for the four-month period following her resignation, which was effective as of August 15,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regarding the relationship of the annual total compensation of our employees and the annual total compensation of Dominique Monnet, our President and Chief Executive Officer (our “CEO”) during 2020. The pay ratio included in this information is a reasonable estimate calculated in a manner that is intended to be consistent with Item 402(u) of Regulation 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2020, our last completed fiscal year:</w:t>
      </w:r>
    </w:p>
    <w:p>
      <w:pPr>
        <w:spacing w:after="0" w:line="63"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$710,082;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included above, was $8,545,700.</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this information, for 2020, the ratio of the median of the total compensation of all employees of the Company to the annual total compensation of our CEO during 2020, was 1 to 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the Median Employee</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determined that, as of December 31, 2020, our employee population consisted of ten individuals (not including our CEO), with all of these individuals located in the United States. Our employee workforce on such date consisted of full-time employees only.</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purposes of measuring the compensation of our employees, we selected total annual cash compensation for 2020 as the most appropriate measure of compensation, which was consistently applied to all our employees included in the calculation. We did not make any cost-of-living adjustments in identifying the “median employee”. With respect to the total annual compensation of the “median employee,” we identified and calculated the elements of such employee’s compensation for fiscal year 2020 in accordance with the requirements of Item 402(c)(2)(x) of Regulation S-K, resulting in annual total compensation of $710,082.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year ended December 31, 2020, each of Mr. Bazaar, Ms. O’Farrell, Ms. Hernday and Mr. Sandman served on the Compensation Committee for at least a portion of the year. None of the members of the Compensation Committee was an officer or an employee of the Company at any time during 2020. None of our executive officers serve as a member of the board of directors or compensation committee of any other entity that has one or more executive officers serving as a member of the Board or Compensation Committee. Our chief executive officer assists the Compensation Committee by presenting proposals and recommendations to the Compensation Committee, information on Company and individual performance of the named executive officers and management’s perspective and recommendations on compensation matters. Our chief executive officer recuses himself from that portion of the Compensation Committee meetings involving deliberation and decision making of his own compensation.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8" w:right="37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COMPENSATION OF OUR DIRECTORS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Board has established its compensation policy for outside directors, which was most recently amended in April 2020, primarily in consultation with the Compensation Committee’s current compensation consultant, Board Advisory. Members of the Board who are also employees of the Company are not entitled to any compensation with respect to their service as Board members.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Prior to April 1, 2020, each outside director received amounts under a retainer based on a per annum rate of $100,000, except for the Chairperson who received a retainer based on a per annum rate of $115,000, for his or her service on the Board. Each outside director also received annual cash retainers for service on Board committees, as follows:</w:t>
      </w:r>
    </w:p>
    <w:p>
      <w:pPr>
        <w:spacing w:after="0" w:line="22" w:lineRule="exact"/>
        <w:rPr>
          <w:sz w:val="20"/>
          <w:szCs w:val="20"/>
          <w:color w:val="auto"/>
        </w:rPr>
      </w:pPr>
    </w:p>
    <w:p>
      <w:pPr>
        <w:ind w:left="660" w:right="1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member of the Audit Committee received a retainer of $17,500 per year, except for the chairperson of the Audit Committee who received a retainer of $30,000 per year, for his or her service on the Audit Committee.</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member of the Compensation Committee received a retainer of $15,000 per year, except for the chairperson of the Compensation Committee who received a retainer of $22,500 per year, for his or her service on the Compensation Committee.</w:t>
      </w:r>
    </w:p>
    <w:p>
      <w:pPr>
        <w:spacing w:after="0" w:line="8"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member of the Litigation Committee received a retainer of $10,000 per year, except for the chairperson of the Litigation Committee who received a retainer of $20,000 per year, for his or her service on the Litigation Committee.</w:t>
      </w:r>
    </w:p>
    <w:p>
      <w:pPr>
        <w:spacing w:after="0" w:line="8" w:lineRule="exact"/>
        <w:rPr>
          <w:rFonts w:ascii="Arial" w:cs="Arial" w:eastAsia="Arial" w:hAnsi="Arial"/>
          <w:sz w:val="18"/>
          <w:szCs w:val="18"/>
          <w:color w:val="auto"/>
        </w:rPr>
      </w:pPr>
    </w:p>
    <w:p>
      <w:pPr>
        <w:ind w:left="660" w:right="100" w:hanging="328"/>
        <w:spacing w:after="0" w:line="342" w:lineRule="auto"/>
        <w:tabs>
          <w:tab w:leader="none" w:pos="6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member of the Nominating and Governance Committee received a retainer of $2,500 per year, except for the chairperson of the Nominating and Governance Committee who received a retainer of $5,000 per year, for his or her service on the Nominating and Governance Committee.</w:t>
      </w:r>
    </w:p>
    <w:p>
      <w:pPr>
        <w:spacing w:after="0" w:line="15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Effective April 1, 2020, the Board reduced the retainer from $100,000 per year to $50,000 per year, applicable to all outside directors, for service on the Board. It also increased the retainer for membership and chairpersonship of the Nominating and Governance Committee to $5,000 per year and $10,000 per year, respectively, to be aligned with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Company’s peer group. In addition, in connection with the Cost Committee that was formed in February 2020, the Board established a retainer of $5,000 per year for each member’s service and $10,000 per year for the chairperson’s service.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All cash compensation paid to outside directors for their service on the Board and its committees is paid on a quarterly basis in arrears.</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also reimburse our directors for their reasonable travel expenses for Board and committee meetings, although there were no in-person Board or committee meetings requiring travel expenses in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5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provide our outside directors with equity awards as a portion of their total compensation to ensure that our outside directors own common stock in the Company and their interests are aligned with our stockholders. In 2020, given the change in the Company’s strategy to liquidate its assets and a cooperation agreement with one of the Company’s stockholders, the Compensation Committee and the Board revised the structure of equity compensation for our outside directors. The Board agreed to align its equity compensation in form and amount with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the Company’s peer group. In doing so, it increased the amount of the annual equity compensation to awards with a grant date value of $187,500, which value was granted 50% in the form of restricted stock awards and 50% in the form of stock options.</w:t>
      </w:r>
    </w:p>
    <w:p>
      <w:pPr>
        <w:spacing w:after="0" w:line="22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Such grants were made to each current outside director annually after the conclusion of our annual general meeting of stockholders in August 2020. Each grant of restricted stock or stock options, as the case may be, was scheduled to vest on the first anniversary of the grant date so long as the director continues to serve on the Board on the vesting date. In the case of restricted stock, during the vesting period, our outside directors have the right to vote their restricted stock and to receive any dividends or distributions paid on their restricted stock, except that dividends or distributions are accumulated and paid on the earlier of the vesting of the underlying stock in accordance with the vesting conditions of the original award or March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year following the payment of such dividend or distribution to all stockholders. Such grants were also subject to acceleration upon the date the Board approved the filing of a certificate of dissolution with the State of Delaware, which occurred on November 5, 2020.</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Any outstanding stock options held by directors are subject to equitable adjustments to ensure such directors realize the same benefits provided to stockholders in the event one or more cash or other distributions become payable to stockholders. Consistent with the existing terms of the Equity Incentive Plan, in the event one or more cash or other distributions are paid to stockholders,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7" w:name="page128"/>
    <w:bookmarkEnd w:id="127"/>
    <w:p>
      <w:pPr>
        <w:ind w:right="20"/>
        <w:spacing w:after="0" w:line="276" w:lineRule="auto"/>
        <w:rPr>
          <w:sz w:val="20"/>
          <w:szCs w:val="20"/>
          <w:color w:val="auto"/>
        </w:rPr>
      </w:pPr>
      <w:r>
        <w:rPr>
          <w:rFonts w:ascii="Arial" w:cs="Arial" w:eastAsia="Arial" w:hAnsi="Arial"/>
          <w:sz w:val="16"/>
          <w:szCs w:val="16"/>
          <w:color w:val="auto"/>
        </w:rPr>
        <w:t>the exercise price of outstanding stock options will be reduced on a dollar-for-dollar basis to reflect the per share value of such distributions. I the event that the Company declares cash or other distributions that, in the aggregate, exceed the difference between the exercise price of an outstanding stock option and the par value of the underlying shares ($0.01), the holder of such stock option will be entitled to receive from the Company a cash payment in an amount equal to the number of shares subject to such stock option multiplied by the per share amount of the cash or other distributions that exceeds the difference between exercise price of the outstanding option and the par value of the underlying shares (a “true-up payment”). A true-up payment shall be paid with respect to a post-dissolution cash or other distributions with respect to a stock-option that was not exercised prior to dissolution.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Compensation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2020, our outside directors who served on the Board during 2020 earned the compensation set forth in the table below: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Option</w:t>
            </w:r>
          </w:p>
        </w:tc>
        <w:tc>
          <w:tcPr>
            <w:tcW w:w="160" w:type="dxa"/>
            <w:vAlign w:val="bottom"/>
          </w:tcPr>
          <w:p>
            <w:pPr>
              <w:spacing w:after="0"/>
              <w:rPr>
                <w:sz w:val="17"/>
                <w:szCs w:val="17"/>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Director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Fees Earned</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line="251" w:lineRule="exact"/>
              <w:rPr>
                <w:sz w:val="20"/>
                <w:szCs w:val="20"/>
                <w:color w:val="auto"/>
              </w:rPr>
            </w:pPr>
            <w:r>
              <w:rPr>
                <w:rFonts w:ascii="Arial" w:cs="Arial" w:eastAsia="Arial" w:hAnsi="Arial"/>
                <w:sz w:val="18"/>
                <w:szCs w:val="18"/>
                <w:b w:val="1"/>
                <w:bCs w:val="1"/>
                <w:color w:val="auto"/>
                <w:w w:val="90"/>
              </w:rPr>
              <w:t>Awards</w:t>
            </w:r>
            <w:r>
              <w:rPr>
                <w:rFonts w:ascii="Arial" w:cs="Arial" w:eastAsia="Arial" w:hAnsi="Arial"/>
                <w:sz w:val="23"/>
                <w:szCs w:val="23"/>
                <w:b w:val="1"/>
                <w:bCs w:val="1"/>
                <w:color w:val="auto"/>
                <w:w w:val="90"/>
                <w:vertAlign w:val="superscript"/>
              </w:rPr>
              <w:t>(1)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line="251" w:lineRule="exact"/>
              <w:rPr>
                <w:sz w:val="20"/>
                <w:szCs w:val="20"/>
                <w:color w:val="auto"/>
              </w:rPr>
            </w:pPr>
            <w:r>
              <w:rPr>
                <w:rFonts w:ascii="Arial" w:cs="Arial" w:eastAsia="Arial" w:hAnsi="Arial"/>
                <w:sz w:val="18"/>
                <w:szCs w:val="18"/>
                <w:b w:val="1"/>
                <w:bCs w:val="1"/>
                <w:color w:val="auto"/>
                <w:w w:val="93"/>
              </w:rPr>
              <w:t>Awards</w:t>
            </w:r>
            <w:r>
              <w:rPr>
                <w:rFonts w:ascii="Arial" w:cs="Arial" w:eastAsia="Arial" w:hAnsi="Arial"/>
                <w:sz w:val="23"/>
                <w:szCs w:val="23"/>
                <w:b w:val="1"/>
                <w:bCs w:val="1"/>
                <w:color w:val="auto"/>
                <w:w w:val="93"/>
                <w:vertAlign w:val="superscript"/>
              </w:rPr>
              <w:t>(1)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Compensation</w:t>
            </w:r>
          </w:p>
        </w:tc>
        <w:tc>
          <w:tcPr>
            <w:tcW w:w="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Elizabeth O’Farrell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0" w:type="dxa"/>
            <w:vAlign w:val="bottom"/>
          </w:tcPr>
          <w:p>
            <w:pPr>
              <w:spacing w:after="0"/>
              <w:rPr>
                <w:sz w:val="1"/>
                <w:szCs w:val="1"/>
                <w:color w:val="auto"/>
              </w:rPr>
            </w:pPr>
          </w:p>
        </w:tc>
      </w:tr>
      <w:tr>
        <w:trPr>
          <w:trHeight w:val="257"/>
        </w:trPr>
        <w:tc>
          <w:tcPr>
            <w:tcW w:w="41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Alan Bazaar</w:t>
            </w:r>
            <w:r>
              <w:rPr>
                <w:rFonts w:ascii="Arial" w:cs="Arial" w:eastAsia="Arial" w:hAnsi="Arial"/>
                <w:sz w:val="23"/>
                <w:szCs w:val="23"/>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58,885</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117,111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117,111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293,107</w:t>
            </w:r>
          </w:p>
        </w:tc>
        <w:tc>
          <w:tcPr>
            <w:tcW w:w="0" w:type="dxa"/>
            <w:vAlign w:val="bottom"/>
          </w:tcPr>
          <w:p>
            <w:pPr>
              <w:spacing w:after="0"/>
              <w:rPr>
                <w:sz w:val="1"/>
                <w:szCs w:val="1"/>
                <w:color w:val="auto"/>
              </w:rPr>
            </w:pPr>
          </w:p>
        </w:tc>
      </w:tr>
      <w:tr>
        <w:trPr>
          <w:trHeight w:val="257"/>
        </w:trPr>
        <w:tc>
          <w:tcPr>
            <w:tcW w:w="41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David W. Gryska</w:t>
            </w:r>
            <w:r>
              <w:rPr>
                <w:rFonts w:ascii="Arial" w:cs="Arial" w:eastAsia="Arial" w:hAnsi="Arial"/>
                <w:sz w:val="23"/>
                <w:szCs w:val="23"/>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284,375</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Natasha Hernday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85,377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93,750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93,750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ind w:right="142"/>
              <w:spacing w:after="0"/>
              <w:rPr>
                <w:sz w:val="20"/>
                <w:szCs w:val="20"/>
                <w:color w:val="auto"/>
              </w:rPr>
            </w:pPr>
            <w:r>
              <w:rPr>
                <w:rFonts w:ascii="Arial" w:cs="Arial" w:eastAsia="Arial" w:hAnsi="Arial"/>
                <w:sz w:val="12"/>
                <w:szCs w:val="12"/>
                <w:color w:val="auto"/>
                <w:w w:val="81"/>
              </w:rPr>
              <w:t>(4)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272,877</w:t>
            </w:r>
          </w:p>
        </w:tc>
        <w:tc>
          <w:tcPr>
            <w:tcW w:w="0" w:type="dxa"/>
            <w:vAlign w:val="bottom"/>
          </w:tcPr>
          <w:p>
            <w:pPr>
              <w:spacing w:after="0"/>
              <w:rPr>
                <w:sz w:val="1"/>
                <w:szCs w:val="1"/>
                <w:color w:val="auto"/>
              </w:rPr>
            </w:pPr>
          </w:p>
        </w:tc>
      </w:tr>
      <w:tr>
        <w:trPr>
          <w:trHeight w:val="256"/>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John P. McLaughlin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70,000</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93,750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93,750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97,500</w:t>
            </w:r>
          </w:p>
        </w:tc>
        <w:tc>
          <w:tcPr>
            <w:tcW w:w="340" w:type="dxa"/>
            <w:vAlign w:val="bottom"/>
            <w:vMerge w:val="continue"/>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355,000</w:t>
            </w:r>
          </w:p>
        </w:tc>
        <w:tc>
          <w:tcPr>
            <w:tcW w:w="0" w:type="dxa"/>
            <w:vAlign w:val="bottom"/>
          </w:tcPr>
          <w:p>
            <w:pPr>
              <w:spacing w:after="0"/>
              <w:rPr>
                <w:sz w:val="1"/>
                <w:szCs w:val="1"/>
                <w:color w:val="auto"/>
              </w:rPr>
            </w:pPr>
          </w:p>
        </w:tc>
      </w:tr>
      <w:tr>
        <w:trPr>
          <w:trHeight w:val="27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Paul W. Sandman</w:t>
            </w:r>
            <w:r>
              <w:rPr>
                <w:rFonts w:ascii="Arial" w:cs="Arial" w:eastAsia="Arial" w:hAnsi="Arial"/>
                <w:sz w:val="23"/>
                <w:szCs w:val="23"/>
                <w:color w:val="auto"/>
                <w:vertAlign w:val="superscript"/>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77,527</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ind w:right="142"/>
              <w:spacing w:after="0"/>
              <w:rPr>
                <w:sz w:val="20"/>
                <w:szCs w:val="20"/>
                <w:color w:val="auto"/>
              </w:rPr>
            </w:pPr>
            <w:r>
              <w:rPr>
                <w:rFonts w:ascii="Arial" w:cs="Arial" w:eastAsia="Arial" w:hAnsi="Arial"/>
                <w:sz w:val="12"/>
                <w:szCs w:val="12"/>
                <w:color w:val="auto"/>
                <w:w w:val="81"/>
              </w:rPr>
              <w:t>(7)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77,527</w:t>
            </w:r>
          </w:p>
        </w:tc>
        <w:tc>
          <w:tcPr>
            <w:tcW w:w="0" w:type="dxa"/>
            <w:vAlign w:val="bottom"/>
          </w:tcPr>
          <w:p>
            <w:pPr>
              <w:spacing w:after="0"/>
              <w:rPr>
                <w:sz w:val="1"/>
                <w:szCs w:val="1"/>
                <w:color w:val="auto"/>
              </w:rPr>
            </w:pPr>
          </w:p>
        </w:tc>
      </w:tr>
      <w:tr>
        <w:trPr>
          <w:trHeight w:val="257"/>
        </w:trPr>
        <w:tc>
          <w:tcPr>
            <w:tcW w:w="41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Shlomo Yanai</w:t>
            </w:r>
            <w:r>
              <w:rPr>
                <w:rFonts w:ascii="Arial" w:cs="Arial" w:eastAsia="Arial" w:hAnsi="Arial"/>
                <w:sz w:val="23"/>
                <w:szCs w:val="23"/>
                <w:color w:val="auto"/>
                <w:vertAlign w:val="superscript"/>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30,834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vMerge w:val="continue"/>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40,834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w:t>
      </w:r>
    </w:p>
    <w:p>
      <w:pPr>
        <w:spacing w:after="0" w:line="38"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21"/>
          <w:szCs w:val="21"/>
          <w:color w:val="auto"/>
          <w:vertAlign w:val="superscript"/>
        </w:rPr>
      </w:pPr>
      <w:r>
        <w:rPr>
          <w:rFonts w:ascii="Arial" w:cs="Arial" w:eastAsia="Arial" w:hAnsi="Arial"/>
          <w:sz w:val="16"/>
          <w:szCs w:val="16"/>
          <w:color w:val="auto"/>
        </w:rPr>
        <w:t>Amounts in this column represent the grant date fair value of the stock options and restricted stock granted to our outside directors, as determined</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9"/>
          <w:szCs w:val="9"/>
          <w:color w:val="auto"/>
        </w:rPr>
        <w:t>(2)</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9"/>
          <w:szCs w:val="9"/>
          <w:color w:val="auto"/>
        </w:rPr>
        <w:t>(3)</w:t>
      </w:r>
    </w:p>
    <w:p>
      <w:pPr>
        <w:spacing w:after="0" w:line="20" w:lineRule="exact"/>
        <w:rPr>
          <w:sz w:val="20"/>
          <w:szCs w:val="20"/>
          <w:color w:val="auto"/>
        </w:rPr>
      </w:pPr>
      <w:r>
        <w:rPr>
          <w:sz w:val="20"/>
          <w:szCs w:val="20"/>
          <w:color w:val="auto"/>
        </w:rPr>
        <w:br w:type="column"/>
      </w:r>
    </w:p>
    <w:p>
      <w:pPr>
        <w:ind w:left="20" w:right="500"/>
        <w:spacing w:after="0" w:line="306" w:lineRule="auto"/>
        <w:rPr>
          <w:sz w:val="20"/>
          <w:szCs w:val="20"/>
          <w:color w:val="auto"/>
        </w:rPr>
      </w:pPr>
      <w:r>
        <w:rPr>
          <w:rFonts w:ascii="Arial" w:cs="Arial" w:eastAsia="Arial" w:hAnsi="Arial"/>
          <w:sz w:val="16"/>
          <w:szCs w:val="16"/>
          <w:color w:val="auto"/>
        </w:rPr>
        <w:t>in accordance with FASB ASC Topic 718. The amounts shown disregard estimated forfeitures. Assumptions used in the calculation of these amounts for awards are included in Note 19 to the Consolidated Financial Statements included in this Annual Report on Form 10-K.</w:t>
      </w:r>
    </w:p>
    <w:p>
      <w:pPr>
        <w:spacing w:after="0" w:line="1" w:lineRule="exact"/>
        <w:rPr>
          <w:sz w:val="20"/>
          <w:szCs w:val="20"/>
          <w:color w:val="auto"/>
        </w:rPr>
      </w:pPr>
    </w:p>
    <w:p>
      <w:pPr>
        <w:ind w:left="20" w:right="220"/>
        <w:spacing w:after="0" w:line="316" w:lineRule="auto"/>
        <w:rPr>
          <w:sz w:val="20"/>
          <w:szCs w:val="20"/>
          <w:color w:val="auto"/>
        </w:rPr>
      </w:pPr>
      <w:r>
        <w:rPr>
          <w:rFonts w:ascii="Arial" w:cs="Arial" w:eastAsia="Arial" w:hAnsi="Arial"/>
          <w:sz w:val="16"/>
          <w:szCs w:val="16"/>
          <w:color w:val="auto"/>
        </w:rPr>
        <w:t>As of December 31, 2020, Ms. O’Farrell held 244,721 outstanding stock options; Messrs. Gryska and Bazaar and Ms. Hernday held 118,671 outstanding stock options; Mr. McLaughlin held 2,166,821 outstanding stock options and Mr. Sandman held 126,050 outstanding stock options.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Mr. Bazaar was appointed to the Board in February 2020 pursuant to the Engine Cooperation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Mr. Gryska resigned from the Board effective December 31, 2020.</w:t>
      </w:r>
    </w:p>
    <w:p>
      <w:pPr>
        <w:spacing w:after="0" w:line="52" w:lineRule="exact"/>
        <w:rPr>
          <w:sz w:val="20"/>
          <w:szCs w:val="20"/>
          <w:color w:val="auto"/>
        </w:rPr>
      </w:pPr>
    </w:p>
    <w:p>
      <w:pPr>
        <w:sectPr>
          <w:pgSz w:w="11900" w:h="16838" w:orient="portrait"/>
          <w:cols w:equalWidth="0" w:num="2">
            <w:col w:w="460" w:space="180"/>
            <w:col w:w="10600"/>
          </w:cols>
          <w:pgMar w:left="320" w:top="935" w:right="339" w:bottom="1440" w:gutter="0" w:footer="0" w:header="0"/>
          <w:type w:val="continuous"/>
        </w:sectPr>
      </w:pPr>
    </w:p>
    <w:p>
      <w:pPr>
        <w:ind w:left="640" w:hanging="308"/>
        <w:spacing w:after="0"/>
        <w:tabs>
          <w:tab w:leader="none" w:pos="64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Includes the following compensation for Mr. McLaughlin: (i) $60,000 earned under a consulting agreement for services provided in connection</w:t>
      </w:r>
    </w:p>
    <w:p>
      <w:pPr>
        <w:sectPr>
          <w:pgSz w:w="11900" w:h="16838" w:orient="portrait"/>
          <w:cols w:equalWidth="0" w:num="1">
            <w:col w:w="11240"/>
          </w:cols>
          <w:pgMar w:left="320" w:top="935" w:right="3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9"/>
          <w:szCs w:val="9"/>
          <w:color w:val="auto"/>
        </w:rPr>
        <w:t>(5)</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9"/>
          <w:szCs w:val="9"/>
          <w:color w:val="auto"/>
        </w:rPr>
        <w:t>(6)</w:t>
      </w:r>
    </w:p>
    <w:p>
      <w:pPr>
        <w:spacing w:after="0" w:line="20" w:lineRule="exact"/>
        <w:rPr>
          <w:sz w:val="20"/>
          <w:szCs w:val="20"/>
          <w:color w:val="auto"/>
        </w:rPr>
      </w:pPr>
      <w:r>
        <w:rPr>
          <w:sz w:val="20"/>
          <w:szCs w:val="20"/>
          <w:color w:val="auto"/>
        </w:rPr>
        <w:br w:type="column"/>
      </w:r>
    </w:p>
    <w:p>
      <w:pPr>
        <w:ind w:left="20" w:right="120"/>
        <w:spacing w:after="0" w:line="258" w:lineRule="auto"/>
        <w:rPr>
          <w:sz w:val="20"/>
          <w:szCs w:val="20"/>
          <w:color w:val="auto"/>
        </w:rPr>
      </w:pPr>
      <w:r>
        <w:rPr>
          <w:rFonts w:ascii="Arial" w:cs="Arial" w:eastAsia="Arial" w:hAnsi="Arial"/>
          <w:sz w:val="18"/>
          <w:szCs w:val="18"/>
          <w:color w:val="auto"/>
        </w:rPr>
        <w:t>with the transition after he retired as the Company’s chief executive officer at the end of 2018 and (ii) $37,500 in connection with his service as a director for LENSAR, Inc., while it was a subsidiary of the Company.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Mr. Sandman resigned from the Board effective August 19,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Mr. Yanai resigned from the Board effective April 30, 2020.</w:t>
      </w:r>
    </w:p>
    <w:p>
      <w:pPr>
        <w:spacing w:after="0" w:line="52" w:lineRule="exact"/>
        <w:rPr>
          <w:sz w:val="20"/>
          <w:szCs w:val="20"/>
          <w:color w:val="auto"/>
        </w:rPr>
      </w:pPr>
    </w:p>
    <w:p>
      <w:pPr>
        <w:sectPr>
          <w:pgSz w:w="11900" w:h="16838" w:orient="portrait"/>
          <w:cols w:equalWidth="0" w:num="2">
            <w:col w:w="460" w:space="180"/>
            <w:col w:w="10600"/>
          </w:cols>
          <w:pgMar w:left="320" w:top="935" w:right="339" w:bottom="1440" w:gutter="0" w:footer="0" w:header="0"/>
          <w:type w:val="continuous"/>
        </w:sectPr>
      </w:pPr>
    </w:p>
    <w:p>
      <w:pPr>
        <w:ind w:left="640" w:hanging="308"/>
        <w:spacing w:after="0"/>
        <w:tabs>
          <w:tab w:leader="none" w:pos="640" w:val="left"/>
        </w:tabs>
        <w:numPr>
          <w:ilvl w:val="0"/>
          <w:numId w:val="66"/>
        </w:numPr>
        <w:rPr>
          <w:rFonts w:ascii="Arial" w:cs="Arial" w:eastAsia="Arial" w:hAnsi="Arial"/>
          <w:sz w:val="21"/>
          <w:szCs w:val="21"/>
          <w:color w:val="auto"/>
          <w:vertAlign w:val="superscript"/>
        </w:rPr>
      </w:pPr>
      <w:r>
        <w:rPr>
          <w:rFonts w:ascii="Arial" w:cs="Arial" w:eastAsia="Arial" w:hAnsi="Arial"/>
          <w:sz w:val="16"/>
          <w:szCs w:val="16"/>
          <w:color w:val="auto"/>
        </w:rPr>
        <w:t>Fees paid to Mr. Yanai under a consulting agreement for services provided in connection with certain monetization strategies after his resignation.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 for Directors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Board has determined that ownership of our common stock by our officers and directors promotes a focus on long-term growth and aligns the interests of our officers and directors with those of our stockholders. As a result, the Board adopted stock ownership guidelines stating that our outside directors should maintain certain minimum ownership levels of our common stock.</w:t>
      </w:r>
    </w:p>
    <w:p>
      <w:pPr>
        <w:spacing w:after="0" w:line="21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Our stock ownership guidelines require that each outside director should own shares of common stock with a value of at least three times the annual cash retainer we pay to the outside director not later than five years after the date the person initially becomes an outside director. As of December 31, 2020, all of our outside directors are in compliance with this requirement or are on track to be compliant within the compliance period.</w:t>
      </w:r>
    </w:p>
    <w:p>
      <w:pPr>
        <w:spacing w:after="0" w:line="19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Board is permitted, in its discretion, to waive the application of our stock ownership guidelines to any covered individual if it determines that, as a result of the individual’s personal circumstances, application of the ownership guidelines would result in a hardship. No such waivers were approved in 2020 for any of our officers or directors.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28" w:name="page129"/>
    <w:bookmarkEnd w:id="128"/>
    <w:p>
      <w:pPr>
        <w:ind w:right="2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Following the filing of the certificate of dissolution with the Secretary of State of Delaware in January 2021, the Company can no longer issue any equity securities, including through any equity compensation plans. The following table provides information on our equity compensation plans as of December 31, 2020.</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2020, we had one active stock-based incentive plan in place under which equity awards were outstanding or shares of our common stock were authorized for issuance and stand-alone inducement awards to one employee, detailed as follows:</w:t>
      </w:r>
    </w:p>
    <w:p>
      <w:pPr>
        <w:sectPr>
          <w:pgSz w:w="11900" w:h="16838" w:orient="portrait"/>
          <w:cols w:equalWidth="0" w:num="1">
            <w:col w:w="11240"/>
          </w:cols>
          <w:pgMar w:left="320" w:top="1174" w:right="3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85"/>
              </w:rPr>
              <w:t>to be issued upon</w:t>
            </w:r>
          </w:p>
        </w:tc>
        <w:tc>
          <w:tcPr>
            <w:tcW w:w="140" w:type="dxa"/>
            <w:vAlign w:val="bottom"/>
          </w:tcPr>
          <w:p>
            <w:pPr>
              <w:spacing w:after="0"/>
              <w:rPr>
                <w:sz w:val="17"/>
                <w:szCs w:val="17"/>
                <w:color w:val="auto"/>
              </w:rPr>
            </w:pPr>
          </w:p>
        </w:tc>
        <w:tc>
          <w:tcPr>
            <w:tcW w:w="14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5"/>
              </w:rPr>
              <w:t>exercise price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87"/>
              </w:rPr>
              <w:t>exercise of outstanding</w:t>
            </w:r>
          </w:p>
        </w:tc>
        <w:tc>
          <w:tcPr>
            <w:tcW w:w="140" w:type="dxa"/>
            <w:vAlign w:val="bottom"/>
          </w:tcPr>
          <w:p>
            <w:pPr>
              <w:spacing w:after="0"/>
              <w:rPr>
                <w:sz w:val="17"/>
                <w:szCs w:val="17"/>
                <w:color w:val="auto"/>
              </w:rPr>
            </w:pPr>
          </w:p>
        </w:tc>
        <w:tc>
          <w:tcPr>
            <w:tcW w:w="14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7"/>
              </w:rPr>
              <w:t>outstanding</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89"/>
              </w:rPr>
              <w:t>options, warrants and</w:t>
            </w: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9"/>
              </w:rPr>
              <w:t>options, warrants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Category</w:t>
            </w:r>
          </w:p>
        </w:tc>
        <w:tc>
          <w:tcPr>
            <w:tcW w:w="152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rights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and rights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ind w:left="190"/>
              <w:spacing w:after="0" w:line="196" w:lineRule="exact"/>
              <w:rPr>
                <w:sz w:val="20"/>
                <w:szCs w:val="20"/>
                <w:color w:val="auto"/>
              </w:rPr>
            </w:pPr>
            <w:r>
              <w:rPr>
                <w:rFonts w:ascii="Arial" w:cs="Arial" w:eastAsia="Arial" w:hAnsi="Arial"/>
                <w:sz w:val="18"/>
                <w:szCs w:val="18"/>
                <w:color w:val="auto"/>
                <w:w w:val="90"/>
              </w:rPr>
              <w:t>(a)</w:t>
            </w:r>
          </w:p>
        </w:tc>
        <w:tc>
          <w:tcPr>
            <w:tcW w:w="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110"/>
              <w:spacing w:after="0" w:line="196" w:lineRule="exact"/>
              <w:rPr>
                <w:sz w:val="20"/>
                <w:szCs w:val="20"/>
                <w:color w:val="auto"/>
              </w:rPr>
            </w:pPr>
            <w:r>
              <w:rPr>
                <w:rFonts w:ascii="Arial" w:cs="Arial" w:eastAsia="Arial" w:hAnsi="Arial"/>
                <w:sz w:val="18"/>
                <w:szCs w:val="18"/>
                <w:color w:val="auto"/>
                <w:w w:val="99"/>
              </w:rPr>
              <w:t>(b)</w:t>
            </w: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10,180,051</w:t>
            </w:r>
          </w:p>
        </w:tc>
        <w:tc>
          <w:tcPr>
            <w:tcW w:w="28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 xml:space="preserve">1.87   </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48"/>
        </w:trPr>
        <w:tc>
          <w:tcPr>
            <w:tcW w:w="510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23"/>
                <w:szCs w:val="23"/>
                <w:color w:val="auto"/>
                <w:vertAlign w:val="superscript"/>
              </w:rPr>
              <w:t>(3)</w:t>
            </w:r>
          </w:p>
        </w:tc>
        <w:tc>
          <w:tcPr>
            <w:tcW w:w="1520" w:type="dxa"/>
            <w:vAlign w:val="bottom"/>
            <w:vMerge w:val="restart"/>
          </w:tcPr>
          <w:p>
            <w:pPr>
              <w:jc w:val="right"/>
              <w:ind w:right="30"/>
              <w:spacing w:after="0"/>
              <w:rPr>
                <w:sz w:val="20"/>
                <w:szCs w:val="20"/>
                <w:color w:val="auto"/>
              </w:rPr>
            </w:pPr>
            <w:r>
              <w:rPr>
                <w:rFonts w:ascii="Arial" w:cs="Arial" w:eastAsia="Arial" w:hAnsi="Arial"/>
                <w:sz w:val="18"/>
                <w:szCs w:val="18"/>
                <w:color w:val="auto"/>
              </w:rPr>
              <w:t>961,000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50"/>
              <w:spacing w:after="0"/>
              <w:rPr>
                <w:sz w:val="20"/>
                <w:szCs w:val="20"/>
                <w:color w:val="auto"/>
              </w:rPr>
            </w:pPr>
            <w:r>
              <w:rPr>
                <w:rFonts w:ascii="Arial" w:cs="Arial" w:eastAsia="Arial" w:hAnsi="Arial"/>
                <w:sz w:val="18"/>
                <w:szCs w:val="18"/>
                <w:color w:val="auto"/>
              </w:rPr>
              <w:t>1.85</w:t>
            </w:r>
          </w:p>
        </w:tc>
        <w:tc>
          <w:tcPr>
            <w:tcW w:w="28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70"/>
        </w:trPr>
        <w:tc>
          <w:tcPr>
            <w:tcW w:w="5100" w:type="dxa"/>
            <w:vAlign w:val="bottom"/>
            <w:gridSpan w:val="2"/>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br w:type="column"/>
      </w:r>
    </w:p>
    <w:p>
      <w:pPr>
        <w:jc w:val="center"/>
        <w:ind w:right="40"/>
        <w:spacing w:after="0" w:line="291" w:lineRule="auto"/>
        <w:rPr>
          <w:sz w:val="20"/>
          <w:szCs w:val="20"/>
          <w:color w:val="auto"/>
        </w:rPr>
      </w:pPr>
      <w:r>
        <w:rPr>
          <w:rFonts w:ascii="Arial" w:cs="Arial" w:eastAsia="Arial" w:hAnsi="Arial"/>
          <w:sz w:val="15"/>
          <w:szCs w:val="15"/>
          <w:b w:val="1"/>
          <w:bCs w:val="1"/>
          <w:color w:val="auto"/>
        </w:rPr>
        <w:t>Number of securities remaining available for future issuance under equity</w:t>
      </w:r>
    </w:p>
    <w:p>
      <w:pPr>
        <w:jc w:val="center"/>
        <w:ind w:left="200" w:right="40"/>
        <w:spacing w:after="0" w:line="283" w:lineRule="auto"/>
        <w:rPr>
          <w:sz w:val="20"/>
          <w:szCs w:val="20"/>
          <w:color w:val="auto"/>
        </w:rPr>
      </w:pPr>
      <w:r>
        <w:rPr>
          <w:rFonts w:ascii="Arial" w:cs="Arial" w:eastAsia="Arial" w:hAnsi="Arial"/>
          <w:sz w:val="16"/>
          <w:szCs w:val="16"/>
          <w:b w:val="1"/>
          <w:bCs w:val="1"/>
          <w:color w:val="auto"/>
        </w:rPr>
        <w:t>compensation plans (excluding securities reflected in 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-10795</wp:posOffset>
            </wp:positionV>
            <wp:extent cx="14319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(c)</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8,468,205</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58" w:lineRule="exact"/>
        <w:rPr>
          <w:sz w:val="20"/>
          <w:szCs w:val="20"/>
          <w:color w:val="auto"/>
        </w:rPr>
      </w:pPr>
    </w:p>
    <w:p>
      <w:pPr>
        <w:sectPr>
          <w:pgSz w:w="11900" w:h="16838" w:orient="portrait"/>
          <w:cols w:equalWidth="0" w:num="2">
            <w:col w:w="8900" w:space="120"/>
            <w:col w:w="2220"/>
          </w:cols>
          <w:pgMar w:left="320" w:top="1174" w:right="339" w:bottom="1440" w:gutter="0" w:footer="0" w:header="0"/>
          <w:type w:val="continuous"/>
        </w:sectPr>
      </w:pPr>
    </w:p>
    <w:p>
      <w:pPr>
        <w:ind w:left="660" w:hanging="346"/>
        <w:spacing w:after="0"/>
        <w:tabs>
          <w:tab w:leader="none" w:pos="660"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Represents outstanding stock options as of December 31, 2020 under the Amended and Restated 2005 Equity Incentive Plan.</w:t>
      </w:r>
    </w:p>
    <w:p>
      <w:pPr>
        <w:spacing w:after="0" w:line="55" w:lineRule="exact"/>
        <w:rPr>
          <w:rFonts w:ascii="Arial" w:cs="Arial" w:eastAsia="Arial" w:hAnsi="Arial"/>
          <w:sz w:val="23"/>
          <w:szCs w:val="23"/>
          <w:color w:val="auto"/>
          <w:vertAlign w:val="superscript"/>
        </w:rPr>
      </w:pPr>
    </w:p>
    <w:p>
      <w:pPr>
        <w:ind w:left="660" w:right="160" w:hanging="346"/>
        <w:spacing w:after="0" w:line="219" w:lineRule="auto"/>
        <w:tabs>
          <w:tab w:leader="none" w:pos="657" w:val="left"/>
        </w:tabs>
        <w:numPr>
          <w:ilvl w:val="0"/>
          <w:numId w:val="67"/>
        </w:numPr>
        <w:rPr>
          <w:rFonts w:ascii="Arial" w:cs="Arial" w:eastAsia="Arial" w:hAnsi="Arial"/>
          <w:sz w:val="23"/>
          <w:szCs w:val="23"/>
          <w:color w:val="auto"/>
          <w:vertAlign w:val="superscript"/>
        </w:rPr>
      </w:pPr>
      <w:r>
        <w:rPr>
          <w:rFonts w:ascii="Arial" w:cs="Arial" w:eastAsia="Arial" w:hAnsi="Arial"/>
          <w:sz w:val="18"/>
          <w:szCs w:val="18"/>
          <w:color w:val="auto"/>
        </w:rPr>
        <w:t>Represents weighted-average stock option exercise price, as adjusted on a dollar-for-dollar basis to reflect the per share value of the distributions of LENSAR common stock and Evofem common stock that occurred in 2020.</w:t>
      </w:r>
    </w:p>
    <w:p>
      <w:pPr>
        <w:spacing w:after="0" w:line="39" w:lineRule="exact"/>
        <w:rPr>
          <w:rFonts w:ascii="Arial" w:cs="Arial" w:eastAsia="Arial" w:hAnsi="Arial"/>
          <w:sz w:val="23"/>
          <w:szCs w:val="23"/>
          <w:color w:val="auto"/>
          <w:vertAlign w:val="superscript"/>
        </w:rPr>
      </w:pPr>
    </w:p>
    <w:p>
      <w:pPr>
        <w:ind w:left="660" w:hanging="346"/>
        <w:spacing w:after="0" w:line="258" w:lineRule="auto"/>
        <w:tabs>
          <w:tab w:leader="none" w:pos="657" w:val="left"/>
        </w:tabs>
        <w:numPr>
          <w:ilvl w:val="0"/>
          <w:numId w:val="67"/>
        </w:numPr>
        <w:rPr>
          <w:rFonts w:ascii="Arial" w:cs="Arial" w:eastAsia="Arial" w:hAnsi="Arial"/>
          <w:sz w:val="22"/>
          <w:szCs w:val="22"/>
          <w:color w:val="auto"/>
          <w:vertAlign w:val="superscript"/>
        </w:rPr>
      </w:pPr>
      <w:r>
        <w:rPr>
          <w:rFonts w:ascii="Arial" w:cs="Arial" w:eastAsia="Arial" w:hAnsi="Arial"/>
          <w:sz w:val="17"/>
          <w:szCs w:val="17"/>
          <w:color w:val="auto"/>
        </w:rPr>
        <w:t>As an inducement material to the decision by Dominique Monnet to accept employment with the Company, the Compensation Committee approved the grant of inducement awards to Mr. Monnet as employment inducement awards pursuant to Nasdaq Listing Rule 5635(c)(4). Effective September 11, 2017, Mr. Monnet was granted stock options to purchase 961,000 shares of the Company’s common stock at an exercise price equal to the closing price per share of the Company’s common stock on the date of grant. All of the options vested in February 2020 upon the Board’s adoption of the Plan of Liquidation. For a description of the inducement awards to Mr. Monnet, please see Note 19 to the Consolidated Financial Statements included in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28, 2020, the Company filed a Form 25 with the SEC notifying the SEC of its intent to voluntarily withdraw its common stock from listing and registration on an exchange. Effective before the market opened on December 31, the Company requested Nasdaq to suspend trading in its common stock in anticipation of filing for dissolution. On January 4, 2020 in accordance with Section 275 of the DGCL and the Plan of Dissolution, the Company filed a certificate of dissolution with the Secretary of State of Delaware, closed its stock transfer books and discontinued recording transfers of its Common Stock. On January 7, 2020, the Company’s common stock was formally delisted from the Nasdaq Global Select Market. From and after the effectiveness of the filing for dissolution on January 4, 2021, the Company’s stockholders have only such rights and obligation as are provided under the DGCL for stockholders of a dissolved corporation.</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Audit Committee is responsible for reviewing and approving all related person transactions, including transactions with executive officers and directors, for potential conflicts of interests or other improprieties. Under SEC rules, related person transactions are those transactions where we are or may be a party and the amount involved exceeds $120,000, and where any of our directors or executive officers or any other related person had or will have a direct or indirect material interest, excluding, among other things, compensation arrangements with respect to employment and Board membership. The Audit Committee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29" w:name="page130"/>
    <w:bookmarkEnd w:id="129"/>
    <w:p>
      <w:pPr>
        <w:ind w:right="360"/>
        <w:spacing w:after="0" w:line="277" w:lineRule="auto"/>
        <w:rPr>
          <w:sz w:val="20"/>
          <w:szCs w:val="20"/>
          <w:color w:val="auto"/>
        </w:rPr>
      </w:pPr>
      <w:r>
        <w:rPr>
          <w:rFonts w:ascii="Arial" w:cs="Arial" w:eastAsia="Arial" w:hAnsi="Arial"/>
          <w:sz w:val="18"/>
          <w:szCs w:val="18"/>
          <w:color w:val="auto"/>
        </w:rPr>
        <w:t>would approve a related person transaction if it determined that the transaction was in the Company’s best interests and on terms no less favorable than terms generally available to an unaffiliated third-party under the same or similar circumstances.</w:t>
      </w:r>
    </w:p>
    <w:p>
      <w:pPr>
        <w:spacing w:after="0" w:line="19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Audit Committee has adopted a stringent written policy whereby the Audit Committee will review for approval all related person transactions where the amount involved is anticipated to exceed $25,000. Our directors are required to disclose to the Board any potential conflict of interest or personal interest in a transaction that the Board or the Company is considering. Our executive officers are required to disclose any related person transaction to our Compliance Officer who would notify the Audit Committee of the transaction. We poll our directors regularly, but no less frequently than annually, with respect to related person transactions and their service as an officer or director of other entities.</w:t>
      </w:r>
    </w:p>
    <w:p>
      <w:pPr>
        <w:spacing w:after="0" w:line="20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Any director involved in a related person transaction that is being reviewed or approved must recuse himself or herself from participation in any related deliberation or decision. All related person transactions anticipated to exceed $25,000 are reviewed in advance of the transaction being completed.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transactions in 2020 and there is not any currently proposed transaction where we were or are to be a party and the amount involved exceeded $120,000, and where any of our directors or executive officers or any other related person had or will have a direct or indirect material interest, other than the compensation paid to our executive officers with respect to their employment relationship with us and compensation paid to our outside directors for their service as members of the Board, which compensation is disclosed above in “Item 11. 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under the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the applicable Nasdaq listing standards, as in effect from time to time.</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the Company’s voluntary delisting from Nasdaq, consistent with these considerations, after review of all relevant transactions or relationships between each director, or any of his or her family members, and the Company, its senior management and its independent auditors, the Board affirmatively determined that the following five directors were independent directors within the meaning of the applicable Nasdaq listing standards during their service on the Board after January 1, 2020: Ms. O’Farrell, Mr. Bazaar, Ms. Hernday, Mr. Gryska and Mr. Sandman. In making these determinations, the Board found that none of these directors or nominees for director had a material or other disqualifying relationship with the Company. Mr. McLaughlin, the Company’s former Chief Executive Officer, and Mr. Monnet, the Company’s President and Chief Executive Officer, were not independent directors by virtue of their employment history with the Company.</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also determined that each member of each of the Compensation Committee, the Nominating and Governance Committee and the Audit Committee was independent during 2020.</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Independent Registered Public Accounting Firm Fees and Services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aggregate fees billed to the Company for the fiscal years ended December 31, 2020 and 2019, by PricewaterhouseCoopers LLP, the Company’s independent registered public accounting firm:</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4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50"/>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Fee Category</w:t>
            </w:r>
          </w:p>
        </w:tc>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0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5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56"/>
        </w:trPr>
        <w:tc>
          <w:tcPr>
            <w:tcW w:w="3500" w:type="dxa"/>
            <w:vAlign w:val="bottom"/>
          </w:tcPr>
          <w:p>
            <w:pPr>
              <w:ind w:left="20"/>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4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Fees</w:t>
            </w:r>
          </w:p>
        </w:tc>
        <w:tc>
          <w:tcPr>
            <w:tcW w:w="5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350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_______________</w:t>
      </w:r>
    </w:p>
    <w:p>
      <w:pPr>
        <w:spacing w:after="0" w:line="63" w:lineRule="exact"/>
        <w:rPr>
          <w:sz w:val="20"/>
          <w:szCs w:val="20"/>
          <w:color w:val="auto"/>
        </w:rPr>
      </w:pPr>
    </w:p>
    <w:p>
      <w:pPr>
        <w:ind w:left="660" w:hanging="328"/>
        <w:spacing w:after="0" w:line="242" w:lineRule="auto"/>
        <w:tabs>
          <w:tab w:leader="none" w:pos="648"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Audit fees consist of fees for professional services rendered for the audit of our consolidated financial statements, attestation services surrounding the effectiveness of our internal control environment and review of the interim condensed consolidated financial statements included in quarterly reports. It also includes services that normally would be provided in connection with statutory and regulatory filings or engagements and services that generally only the principal auditor reasonably can provide to a client, such as comfort letters, attestation services (except those not required by statute or regulation), procedures related to audit of income tax provisions and related reserves, consents and assistance with and review of documents filed with the SEC.</w:t>
      </w:r>
    </w:p>
    <w:p>
      <w:pPr>
        <w:spacing w:after="0" w:line="39" w:lineRule="exact"/>
        <w:rPr>
          <w:rFonts w:ascii="Arial" w:cs="Arial" w:eastAsia="Arial" w:hAnsi="Arial"/>
          <w:sz w:val="23"/>
          <w:szCs w:val="23"/>
          <w:color w:val="auto"/>
          <w:vertAlign w:val="superscript"/>
        </w:rPr>
      </w:pPr>
    </w:p>
    <w:p>
      <w:pPr>
        <w:ind w:left="660" w:right="80" w:hanging="328"/>
        <w:spacing w:after="0" w:line="227" w:lineRule="auto"/>
        <w:tabs>
          <w:tab w:leader="none" w:pos="648"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Audit-related fees consist of fees billed for assurance and related services that are reasonably related to the performance of the audit or review of our consolidated financial statements and are not reported under “Audit Fees.”</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Tax fees consist of fees for tax compliance, tax advice and tax planning.</w:t>
      </w:r>
    </w:p>
    <w:p>
      <w:pPr>
        <w:spacing w:after="0" w:line="55" w:lineRule="exact"/>
        <w:rPr>
          <w:rFonts w:ascii="Arial" w:cs="Arial" w:eastAsia="Arial" w:hAnsi="Arial"/>
          <w:sz w:val="23"/>
          <w:szCs w:val="23"/>
          <w:color w:val="auto"/>
          <w:vertAlign w:val="superscript"/>
        </w:rPr>
      </w:pPr>
    </w:p>
    <w:p>
      <w:pPr>
        <w:ind w:left="660" w:right="100" w:hanging="328"/>
        <w:spacing w:after="0" w:line="219" w:lineRule="auto"/>
        <w:tabs>
          <w:tab w:leader="none" w:pos="648" w:val="left"/>
        </w:tabs>
        <w:numPr>
          <w:ilvl w:val="0"/>
          <w:numId w:val="68"/>
        </w:numPr>
        <w:rPr>
          <w:rFonts w:ascii="Arial" w:cs="Arial" w:eastAsia="Arial" w:hAnsi="Arial"/>
          <w:sz w:val="23"/>
          <w:szCs w:val="23"/>
          <w:color w:val="auto"/>
          <w:vertAlign w:val="superscript"/>
        </w:rPr>
      </w:pPr>
      <w:r>
        <w:rPr>
          <w:rFonts w:ascii="Arial" w:cs="Arial" w:eastAsia="Arial" w:hAnsi="Arial"/>
          <w:sz w:val="18"/>
          <w:szCs w:val="18"/>
          <w:color w:val="auto"/>
        </w:rPr>
        <w:t>All other fees include any fees billed that are not audit, audit related or tax fees. In 2020 and 2019, these fees included a license to an accounting research database and an accounting disclosure checklist.</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Audit Committee pre-approves all audit services provided by the independent registered public accounting firm and permissible non-audit services in excess of a certain de minimis amount provided by the independent registered public accounting firm. These services may include audit services, audit-related services, tax services and other services. The Audit Committee has a policy for the pre-approval of services provided by the independent registered public accounting firm. Under the policy, any pre-approval is detailed as to the particular service or category of services and includes an estimate of the related fees. The Audit Committee may delegate pre-approval authority to one or more of its members. Such a member must report any decisions to the Audit Committee at the next scheduled meeting. During fiscal years 2020 and 2019, the Audit Committee approved all of the fees described above.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5" w:right="439" w:bottom="1440" w:gutter="0" w:footer="0" w:header="0"/>
        </w:sectPr>
      </w:pPr>
    </w:p>
    <w:bookmarkStart w:id="131" w:name="page132"/>
    <w:bookmarkEnd w:id="131"/>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5"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filed as part of this Annual Report on Form 10-K:</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 See Index to Consolidated Financial Statements at Item 8 of this Annual Report on Form 10-K.</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The financial statement schedules are omitted because the information is not applicable, not required under the instructions, or the information requested is set forth in our Consolidated Financial Statements or related notes thereto.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 required by Item 601 of Regulation S-K</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information required by this Section (a)(3) of Item 15 is set forth on the exhibit index that precedes the Signatures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132" w:name="page133"/>
    <w:bookmarkEnd w:id="132"/>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160" w:type="dxa"/>
            <w:vAlign w:val="bottom"/>
            <w:gridSpan w:val="33"/>
          </w:tcPr>
          <w:p>
            <w:pPr>
              <w:ind w:left="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5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Exhibit</w:t>
            </w: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gridSpan w:val="29"/>
            <w:vMerge w:val="restart"/>
          </w:tcPr>
          <w:p>
            <w:pPr>
              <w:ind w:left="20"/>
              <w:spacing w:after="0"/>
              <w:rPr>
                <w:sz w:val="20"/>
                <w:szCs w:val="20"/>
                <w:color w:val="auto"/>
              </w:rPr>
            </w:pPr>
            <w:r>
              <w:rPr>
                <w:rFonts w:ascii="Arial" w:cs="Arial" w:eastAsia="Arial" w:hAnsi="Arial"/>
                <w:sz w:val="18"/>
                <w:szCs w:val="18"/>
                <w:b w:val="1"/>
                <w:bCs w:val="1"/>
                <w:color w:val="auto"/>
              </w:rPr>
              <w:t>Exhibit Title</w:t>
            </w:r>
          </w:p>
        </w:tc>
        <w:tc>
          <w:tcPr>
            <w:tcW w:w="0" w:type="dxa"/>
            <w:vAlign w:val="bottom"/>
          </w:tcPr>
          <w:p>
            <w:pPr>
              <w:spacing w:after="0"/>
              <w:rPr>
                <w:sz w:val="1"/>
                <w:szCs w:val="1"/>
                <w:color w:val="auto"/>
              </w:rPr>
            </w:pPr>
          </w:p>
        </w:tc>
      </w:tr>
      <w:tr>
        <w:trPr>
          <w:trHeight w:val="234"/>
        </w:trPr>
        <w:tc>
          <w:tcPr>
            <w:tcW w:w="152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Number</w:t>
            </w:r>
          </w:p>
        </w:tc>
        <w:tc>
          <w:tcPr>
            <w:tcW w:w="4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gridSpan w:val="29"/>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2.1</w:t>
            </w:r>
          </w:p>
        </w:tc>
        <w:tc>
          <w:tcPr>
            <w:tcW w:w="9720" w:type="dxa"/>
            <w:vAlign w:val="bottom"/>
            <w:gridSpan w:val="35"/>
          </w:tcPr>
          <w:p>
            <w:pPr>
              <w:spacing w:after="0"/>
              <w:rPr>
                <w:rFonts w:ascii="Arial" w:cs="Arial" w:eastAsia="Arial" w:hAnsi="Arial"/>
                <w:sz w:val="18"/>
                <w:szCs w:val="18"/>
                <w:color w:val="0000FF"/>
              </w:rPr>
            </w:pPr>
            <w:hyperlink r:id="rId176">
              <w:r>
                <w:rPr>
                  <w:rFonts w:ascii="Arial" w:cs="Arial" w:eastAsia="Arial" w:hAnsi="Arial"/>
                  <w:sz w:val="18"/>
                  <w:szCs w:val="18"/>
                  <w:color w:val="0000FF"/>
                </w:rPr>
                <w:t>Separation and Distribution Agreement, dated December 17, 2008, between the Company and Facet Biotech Corporation</w:t>
              </w:r>
            </w:hyperlink>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87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(incorporated by reference to Exhibit 10.1 to Current Report on Form 8-K filed December 23, 2008)</w:t>
              </w:r>
            </w:hyperlink>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2.2</w:t>
            </w:r>
          </w:p>
        </w:tc>
        <w:tc>
          <w:tcPr>
            <w:tcW w:w="9720" w:type="dxa"/>
            <w:vAlign w:val="bottom"/>
            <w:gridSpan w:val="35"/>
          </w:tcPr>
          <w:p>
            <w:pPr>
              <w:spacing w:after="0"/>
              <w:rPr>
                <w:rFonts w:ascii="Arial" w:cs="Arial" w:eastAsia="Arial" w:hAnsi="Arial"/>
                <w:sz w:val="18"/>
                <w:szCs w:val="18"/>
                <w:color w:val="0000FF"/>
                <w:w w:val="95"/>
              </w:rPr>
            </w:pPr>
            <w:hyperlink r:id="rId177">
              <w:r>
                <w:rPr>
                  <w:rFonts w:ascii="Arial" w:cs="Arial" w:eastAsia="Arial" w:hAnsi="Arial"/>
                  <w:sz w:val="18"/>
                  <w:szCs w:val="18"/>
                  <w:color w:val="0000FF"/>
                  <w:w w:val="95"/>
                </w:rPr>
                <w:t>Amendment No. 1 to Separation and Distribution Agreement, dated January 20, 2009, between the Company and Facet Biotech</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Corporation (incorporated by reference to Exhibit 2.2 to Annual Report on Form 10-K filed March 2, 2009)</w:t>
              </w:r>
            </w:hyperlink>
          </w:p>
        </w:tc>
        <w:tc>
          <w:tcPr>
            <w:tcW w:w="14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3.1</w:t>
            </w:r>
          </w:p>
        </w:tc>
        <w:tc>
          <w:tcPr>
            <w:tcW w:w="9720" w:type="dxa"/>
            <w:vAlign w:val="bottom"/>
            <w:gridSpan w:val="35"/>
          </w:tcPr>
          <w:p>
            <w:pPr>
              <w:spacing w:after="0"/>
              <w:rPr>
                <w:sz w:val="20"/>
                <w:szCs w:val="20"/>
                <w:color w:val="auto"/>
              </w:rPr>
            </w:pPr>
            <w:r>
              <w:rPr>
                <w:rFonts w:ascii="Arial" w:cs="Arial" w:eastAsia="Arial" w:hAnsi="Arial"/>
                <w:sz w:val="18"/>
                <w:szCs w:val="18"/>
                <w:color w:val="auto"/>
                <w:w w:val="94"/>
              </w:rPr>
              <w:t>Restated Certificate of Incorporation effective March 23, 1993 (incorporated by reference to Exhibit 3.1 to Annual Report on Form</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720" w:type="dxa"/>
            <w:vAlign w:val="bottom"/>
            <w:gridSpan w:val="35"/>
          </w:tcPr>
          <w:p>
            <w:pPr>
              <w:spacing w:after="0"/>
              <w:rPr>
                <w:sz w:val="20"/>
                <w:szCs w:val="20"/>
                <w:color w:val="auto"/>
              </w:rPr>
            </w:pPr>
            <w:r>
              <w:rPr>
                <w:rFonts w:ascii="Arial" w:cs="Arial" w:eastAsia="Arial" w:hAnsi="Arial"/>
                <w:sz w:val="18"/>
                <w:szCs w:val="18"/>
                <w:color w:val="auto"/>
              </w:rPr>
              <w:t>10-K filed March 31, 1993)</w:t>
            </w:r>
          </w:p>
        </w:tc>
        <w:tc>
          <w:tcPr>
            <w:tcW w:w="0" w:type="dxa"/>
            <w:vAlign w:val="bottom"/>
          </w:tcPr>
          <w:p>
            <w:pPr>
              <w:spacing w:after="0"/>
              <w:rPr>
                <w:sz w:val="1"/>
                <w:szCs w:val="1"/>
                <w:color w:val="auto"/>
              </w:rPr>
            </w:pPr>
          </w:p>
        </w:tc>
      </w:tr>
      <w:tr>
        <w:trPr>
          <w:trHeight w:val="242"/>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3.2</w:t>
            </w:r>
          </w:p>
        </w:tc>
        <w:tc>
          <w:tcPr>
            <w:tcW w:w="9720" w:type="dxa"/>
            <w:vAlign w:val="bottom"/>
            <w:gridSpan w:val="35"/>
          </w:tcPr>
          <w:p>
            <w:pPr>
              <w:spacing w:after="0"/>
              <w:rPr>
                <w:rFonts w:ascii="Arial" w:cs="Arial" w:eastAsia="Arial" w:hAnsi="Arial"/>
                <w:sz w:val="18"/>
                <w:szCs w:val="18"/>
                <w:color w:val="0000FF"/>
                <w:w w:val="97"/>
              </w:rPr>
            </w:pPr>
            <w:hyperlink r:id="rId178">
              <w:r>
                <w:rPr>
                  <w:rFonts w:ascii="Arial" w:cs="Arial" w:eastAsia="Arial" w:hAnsi="Arial"/>
                  <w:sz w:val="18"/>
                  <w:szCs w:val="18"/>
                  <w:color w:val="0000FF"/>
                  <w:w w:val="97"/>
                </w:rPr>
                <w:t>Certificate of Amendment of Certificate of Incorporation effective August 21, 2001 (incorporated by reference to Exhibit 3.3 to</w:t>
              </w:r>
            </w:hyperlink>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92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Annual Report on Form 10-K filed March 14, 2002)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3.3</w:t>
            </w:r>
          </w:p>
        </w:tc>
        <w:tc>
          <w:tcPr>
            <w:tcW w:w="9720" w:type="dxa"/>
            <w:vAlign w:val="bottom"/>
            <w:gridSpan w:val="35"/>
          </w:tcPr>
          <w:p>
            <w:pPr>
              <w:spacing w:after="0"/>
              <w:rPr>
                <w:rFonts w:ascii="Arial" w:cs="Arial" w:eastAsia="Arial" w:hAnsi="Arial"/>
                <w:sz w:val="18"/>
                <w:szCs w:val="18"/>
                <w:color w:val="0000FF"/>
                <w:w w:val="96"/>
              </w:rPr>
            </w:pPr>
            <w:hyperlink r:id="rId179">
              <w:r>
                <w:rPr>
                  <w:rFonts w:ascii="Arial" w:cs="Arial" w:eastAsia="Arial" w:hAnsi="Arial"/>
                  <w:sz w:val="18"/>
                  <w:szCs w:val="18"/>
                  <w:color w:val="0000FF"/>
                  <w:w w:val="96"/>
                </w:rPr>
                <w:t>Certificate of Amendment of Certificate of Incorporation effective January 9, 2006 (incorporated by reference to Exhibit 99.1 to</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92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Current Report on Form 8-K filed January 10, 2006)</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3.4</w:t>
            </w:r>
          </w:p>
        </w:tc>
        <w:tc>
          <w:tcPr>
            <w:tcW w:w="9720" w:type="dxa"/>
            <w:vAlign w:val="bottom"/>
            <w:gridSpan w:val="35"/>
          </w:tcPr>
          <w:p>
            <w:pPr>
              <w:spacing w:after="0"/>
              <w:rPr>
                <w:rFonts w:ascii="Arial" w:cs="Arial" w:eastAsia="Arial" w:hAnsi="Arial"/>
                <w:sz w:val="18"/>
                <w:szCs w:val="18"/>
                <w:color w:val="0000FF"/>
                <w:w w:val="93"/>
              </w:rPr>
            </w:pPr>
            <w:hyperlink r:id="rId180">
              <w:r>
                <w:rPr>
                  <w:rFonts w:ascii="Arial" w:cs="Arial" w:eastAsia="Arial" w:hAnsi="Arial"/>
                  <w:sz w:val="18"/>
                  <w:szCs w:val="18"/>
                  <w:color w:val="0000FF"/>
                  <w:w w:val="93"/>
                </w:rPr>
                <w:t>Certificate of Designation, Preferences and Rights of the Terms effective August 25, 2006 (incorporated by reference to Exhibit 3.4</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to Registration Statement on Form 8-A filed September 6, 2006)</w:t>
              </w:r>
            </w:hyperlink>
          </w:p>
        </w:tc>
        <w:tc>
          <w:tcPr>
            <w:tcW w:w="48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3.5</w:t>
            </w:r>
          </w:p>
        </w:tc>
        <w:tc>
          <w:tcPr>
            <w:tcW w:w="9720" w:type="dxa"/>
            <w:vAlign w:val="bottom"/>
            <w:gridSpan w:val="35"/>
          </w:tcPr>
          <w:p>
            <w:pPr>
              <w:spacing w:after="0"/>
              <w:rPr>
                <w:rFonts w:ascii="Arial" w:cs="Arial" w:eastAsia="Arial" w:hAnsi="Arial"/>
                <w:sz w:val="18"/>
                <w:szCs w:val="18"/>
                <w:color w:val="0000FF"/>
                <w:w w:val="95"/>
              </w:rPr>
            </w:pPr>
            <w:hyperlink r:id="rId181">
              <w:r>
                <w:rPr>
                  <w:rFonts w:ascii="Arial" w:cs="Arial" w:eastAsia="Arial" w:hAnsi="Arial"/>
                  <w:sz w:val="18"/>
                  <w:szCs w:val="18"/>
                  <w:color w:val="0000FF"/>
                  <w:w w:val="95"/>
                </w:rPr>
                <w:t>Fourth Amended and Restated Bylaws effective August 26, 2020 (incorporated by reference to Exhibit 3.2 to Current Report on</w:t>
              </w:r>
            </w:hyperlink>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81">
              <w:r>
                <w:rPr>
                  <w:rFonts w:ascii="Arial" w:cs="Arial" w:eastAsia="Arial" w:hAnsi="Arial"/>
                  <w:sz w:val="18"/>
                  <w:szCs w:val="18"/>
                  <w:color w:val="0000FF"/>
                  <w:w w:val="91"/>
                </w:rPr>
                <w:t>Form 8-K filed September 1, 2020)</w:t>
              </w:r>
            </w:hyperlink>
          </w:p>
        </w:tc>
        <w:tc>
          <w:tcPr>
            <w:tcW w:w="668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3.6</w:t>
            </w:r>
          </w:p>
        </w:tc>
        <w:tc>
          <w:tcPr>
            <w:tcW w:w="9720" w:type="dxa"/>
            <w:vAlign w:val="bottom"/>
            <w:gridSpan w:val="35"/>
          </w:tcPr>
          <w:p>
            <w:pPr>
              <w:spacing w:after="0"/>
              <w:rPr>
                <w:rFonts w:ascii="Arial" w:cs="Arial" w:eastAsia="Arial" w:hAnsi="Arial"/>
                <w:sz w:val="18"/>
                <w:szCs w:val="18"/>
                <w:color w:val="0000FF"/>
                <w:w w:val="94"/>
              </w:rPr>
            </w:pPr>
            <w:hyperlink r:id="rId182">
              <w:r>
                <w:rPr>
                  <w:rFonts w:ascii="Arial" w:cs="Arial" w:eastAsia="Arial" w:hAnsi="Arial"/>
                  <w:sz w:val="18"/>
                  <w:szCs w:val="18"/>
                  <w:color w:val="0000FF"/>
                  <w:w w:val="94"/>
                </w:rPr>
                <w:t>Certificate of Amendment of Restated Certificate of Incorporation effective May 22, 2013 (incorporated by reference to Exhibit 4.4</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82">
              <w:r>
                <w:rPr>
                  <w:rFonts w:ascii="Arial" w:cs="Arial" w:eastAsia="Arial" w:hAnsi="Arial"/>
                  <w:sz w:val="18"/>
                  <w:szCs w:val="18"/>
                  <w:color w:val="0000FF"/>
                  <w:w w:val="90"/>
                </w:rPr>
                <w:t>to Registration Statement on Form S-3 filed June 21, 2013)</w:t>
              </w:r>
            </w:hyperlink>
          </w:p>
        </w:tc>
        <w:tc>
          <w:tcPr>
            <w:tcW w:w="52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3.7</w:t>
            </w:r>
          </w:p>
        </w:tc>
        <w:tc>
          <w:tcPr>
            <w:tcW w:w="9720" w:type="dxa"/>
            <w:vAlign w:val="bottom"/>
            <w:gridSpan w:val="35"/>
          </w:tcPr>
          <w:p>
            <w:pPr>
              <w:spacing w:after="0"/>
              <w:rPr>
                <w:rFonts w:ascii="Arial" w:cs="Arial" w:eastAsia="Arial" w:hAnsi="Arial"/>
                <w:sz w:val="18"/>
                <w:szCs w:val="18"/>
                <w:color w:val="0000FF"/>
                <w:w w:val="95"/>
              </w:rPr>
            </w:pPr>
            <w:hyperlink r:id="rId183">
              <w:r>
                <w:rPr>
                  <w:rFonts w:ascii="Arial" w:cs="Arial" w:eastAsia="Arial" w:hAnsi="Arial"/>
                  <w:sz w:val="18"/>
                  <w:szCs w:val="18"/>
                  <w:color w:val="0000FF"/>
                  <w:w w:val="95"/>
                </w:rPr>
                <w:t>Certificate of Amendment of Restated Certificate of Incorporation effective August 26, 2020 (incorporated by reference to Exhibit</w:t>
              </w:r>
            </w:hyperlink>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94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Current Report on Form 8-K filed September 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4.1</w:t>
            </w:r>
          </w:p>
        </w:tc>
        <w:tc>
          <w:tcPr>
            <w:tcW w:w="9720" w:type="dxa"/>
            <w:vAlign w:val="bottom"/>
            <w:gridSpan w:val="35"/>
          </w:tcPr>
          <w:p>
            <w:pPr>
              <w:spacing w:after="0"/>
              <w:rPr>
                <w:rFonts w:ascii="Arial" w:cs="Arial" w:eastAsia="Arial" w:hAnsi="Arial"/>
                <w:sz w:val="18"/>
                <w:szCs w:val="18"/>
                <w:color w:val="0000FF"/>
                <w:w w:val="94"/>
              </w:rPr>
            </w:pPr>
            <w:hyperlink r:id="rId184">
              <w:r>
                <w:rPr>
                  <w:rFonts w:ascii="Arial" w:cs="Arial" w:eastAsia="Arial" w:hAnsi="Arial"/>
                  <w:sz w:val="18"/>
                  <w:szCs w:val="18"/>
                  <w:color w:val="0000FF"/>
                  <w:w w:val="94"/>
                </w:rPr>
                <w:t>Indenture between the Company and The Bank of New York Mellon Trust Company, N.A., dated February 12, 2014 (incorporated</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84">
              <w:r>
                <w:rPr>
                  <w:rFonts w:ascii="Arial" w:cs="Arial" w:eastAsia="Arial" w:hAnsi="Arial"/>
                  <w:sz w:val="18"/>
                  <w:szCs w:val="18"/>
                  <w:color w:val="0000FF"/>
                  <w:w w:val="92"/>
                </w:rPr>
                <w:t>by reference to Exhibit 4.1 to Current Report on Form 8-K filed February 12, 2014)</w:t>
              </w:r>
            </w:hyperlink>
          </w:p>
        </w:tc>
        <w:tc>
          <w:tcPr>
            <w:tcW w:w="336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4.2</w:t>
            </w:r>
          </w:p>
        </w:tc>
        <w:tc>
          <w:tcPr>
            <w:tcW w:w="9720" w:type="dxa"/>
            <w:vAlign w:val="bottom"/>
            <w:gridSpan w:val="35"/>
          </w:tcPr>
          <w:p>
            <w:pPr>
              <w:spacing w:after="0"/>
              <w:rPr>
                <w:rFonts w:ascii="Arial" w:cs="Arial" w:eastAsia="Arial" w:hAnsi="Arial"/>
                <w:sz w:val="18"/>
                <w:szCs w:val="18"/>
                <w:color w:val="0000FF"/>
                <w:w w:val="93"/>
              </w:rPr>
            </w:pPr>
            <w:hyperlink r:id="rId184">
              <w:r>
                <w:rPr>
                  <w:rFonts w:ascii="Arial" w:cs="Arial" w:eastAsia="Arial" w:hAnsi="Arial"/>
                  <w:sz w:val="18"/>
                  <w:szCs w:val="18"/>
                  <w:color w:val="0000FF"/>
                  <w:w w:val="93"/>
                </w:rPr>
                <w:t>Supplemental Indenture between the Company and The Bank of New York Mellon Trust Company, N.A., dated February 12, 2014</w:t>
              </w:r>
            </w:hyperlink>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94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(incorporated by reference to Exhibit 4.1 to Current Report on Form 8-K filed February 12, 2014)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4.3</w:t>
            </w:r>
          </w:p>
        </w:tc>
        <w:tc>
          <w:tcPr>
            <w:tcW w:w="9720" w:type="dxa"/>
            <w:vAlign w:val="bottom"/>
            <w:gridSpan w:val="35"/>
          </w:tcPr>
          <w:p>
            <w:pPr>
              <w:spacing w:after="0"/>
              <w:rPr>
                <w:rFonts w:ascii="Arial" w:cs="Arial" w:eastAsia="Arial" w:hAnsi="Arial"/>
                <w:sz w:val="18"/>
                <w:szCs w:val="18"/>
                <w:color w:val="0000FF"/>
                <w:w w:val="94"/>
              </w:rPr>
            </w:pPr>
            <w:hyperlink r:id="rId185">
              <w:r>
                <w:rPr>
                  <w:rFonts w:ascii="Arial" w:cs="Arial" w:eastAsia="Arial" w:hAnsi="Arial"/>
                  <w:sz w:val="18"/>
                  <w:szCs w:val="18"/>
                  <w:color w:val="0000FF"/>
                  <w:w w:val="94"/>
                </w:rPr>
                <w:t>Second Supplemental Indenture between the Company and The Bank of New York Mellon Trust Company, N.A., dated February</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85">
              <w:r>
                <w:rPr>
                  <w:rFonts w:ascii="Arial" w:cs="Arial" w:eastAsia="Arial" w:hAnsi="Arial"/>
                  <w:sz w:val="18"/>
                  <w:szCs w:val="18"/>
                  <w:color w:val="0000FF"/>
                  <w:w w:val="92"/>
                </w:rPr>
                <w:t>28, 2014 (incorporated by reference to Exhibit 4.9 to Annual Report on Form 10-K filed March 3, 2014)</w:t>
              </w:r>
            </w:hyperlink>
          </w:p>
        </w:tc>
        <w:tc>
          <w:tcPr>
            <w:tcW w:w="1800" w:type="dxa"/>
            <w:vAlign w:val="bottom"/>
            <w:tcBorders>
              <w:top w:val="single" w:sz="8" w:color="0000FF"/>
            </w:tcBorders>
            <w:gridSpan w:val="13"/>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4.4</w:t>
            </w:r>
          </w:p>
        </w:tc>
        <w:tc>
          <w:tcPr>
            <w:tcW w:w="9720" w:type="dxa"/>
            <w:vAlign w:val="bottom"/>
            <w:gridSpan w:val="35"/>
          </w:tcPr>
          <w:p>
            <w:pPr>
              <w:spacing w:after="0"/>
              <w:rPr>
                <w:rFonts w:ascii="Arial" w:cs="Arial" w:eastAsia="Arial" w:hAnsi="Arial"/>
                <w:sz w:val="18"/>
                <w:szCs w:val="18"/>
                <w:color w:val="0000FF"/>
                <w:w w:val="93"/>
              </w:rPr>
            </w:pPr>
            <w:hyperlink r:id="rId186">
              <w:r>
                <w:rPr>
                  <w:rFonts w:ascii="Arial" w:cs="Arial" w:eastAsia="Arial" w:hAnsi="Arial"/>
                  <w:sz w:val="18"/>
                  <w:szCs w:val="18"/>
                  <w:color w:val="0000FF"/>
                  <w:w w:val="93"/>
                </w:rPr>
                <w:t>Indenture between the Company and the Bank of New York Mellon Trust Company, N.A., dated November 22, 2016 (incorporated</w:t>
              </w:r>
            </w:hyperlink>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94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by reference to Exhibit 4.1 to Current Report on Form 8-K filed November 28, 2016)</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4.5</w:t>
            </w:r>
          </w:p>
        </w:tc>
        <w:tc>
          <w:tcPr>
            <w:tcW w:w="9720" w:type="dxa"/>
            <w:vAlign w:val="bottom"/>
            <w:gridSpan w:val="35"/>
          </w:tcPr>
          <w:p>
            <w:pPr>
              <w:spacing w:after="0"/>
              <w:rPr>
                <w:rFonts w:ascii="Arial" w:cs="Arial" w:eastAsia="Arial" w:hAnsi="Arial"/>
                <w:sz w:val="18"/>
                <w:szCs w:val="18"/>
                <w:color w:val="0000FF"/>
                <w:w w:val="92"/>
              </w:rPr>
            </w:pPr>
            <w:hyperlink r:id="rId187">
              <w:r>
                <w:rPr>
                  <w:rFonts w:ascii="Arial" w:cs="Arial" w:eastAsia="Arial" w:hAnsi="Arial"/>
                  <w:sz w:val="18"/>
                  <w:szCs w:val="18"/>
                  <w:color w:val="0000FF"/>
                  <w:w w:val="92"/>
                </w:rPr>
                <w:t>Supplemental Indenture between the Company and The Bank of New York Mellon Trust Company, N.A., dated November 22, 2016</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(incorporated by reference to Exhibit 4.2 to Current Report on Form 8-K filed November 28, 2016)</w:t>
              </w:r>
            </w:hyperlink>
          </w:p>
        </w:tc>
        <w:tc>
          <w:tcPr>
            <w:tcW w:w="2320" w:type="dxa"/>
            <w:vAlign w:val="bottom"/>
            <w:tcBorders>
              <w:top w:val="single" w:sz="8" w:color="0000FF"/>
            </w:tcBorders>
            <w:gridSpan w:val="22"/>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4.6</w:t>
            </w:r>
          </w:p>
        </w:tc>
        <w:tc>
          <w:tcPr>
            <w:tcW w:w="9720" w:type="dxa"/>
            <w:vAlign w:val="bottom"/>
            <w:gridSpan w:val="35"/>
          </w:tcPr>
          <w:p>
            <w:pPr>
              <w:spacing w:after="0"/>
              <w:rPr>
                <w:rFonts w:ascii="Arial" w:cs="Arial" w:eastAsia="Arial" w:hAnsi="Arial"/>
                <w:sz w:val="18"/>
                <w:szCs w:val="18"/>
                <w:color w:val="0000FF"/>
                <w:w w:val="92"/>
              </w:rPr>
            </w:pPr>
            <w:hyperlink r:id="rId188">
              <w:r>
                <w:rPr>
                  <w:rFonts w:ascii="Arial" w:cs="Arial" w:eastAsia="Arial" w:hAnsi="Arial"/>
                  <w:sz w:val="18"/>
                  <w:szCs w:val="18"/>
                  <w:color w:val="0000FF"/>
                  <w:w w:val="92"/>
                </w:rPr>
                <w:t>Indenture, dated September 17, 2019, between the Company, as Issuer and The Bank of New York Mellon Trust Company, N.A., as</w:t>
              </w:r>
            </w:hyperlink>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95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Trustee (incorporated by reference to Exhibit 4.1 to Current Report on Form 8-K filed September 17, 2019</w:t>
              </w:r>
              <w:r>
                <w:rPr>
                  <w:rFonts w:ascii="Arial" w:cs="Arial" w:eastAsia="Arial" w:hAnsi="Arial"/>
                  <w:sz w:val="18"/>
                  <w:szCs w:val="18"/>
                  <w:color w:val="000000"/>
                </w:rPr>
                <w:t>)</w:t>
              </w:r>
            </w:hyperlink>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3240" w:type="dxa"/>
            <w:vAlign w:val="bottom"/>
            <w:tcBorders>
              <w:right w:val="single" w:sz="8" w:color="0000FF"/>
            </w:tcBorders>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20" w:type="dxa"/>
            <w:vAlign w:val="bottom"/>
          </w:tcPr>
          <w:p>
            <w:pPr>
              <w:jc w:val="center"/>
              <w:ind w:left="50"/>
              <w:spacing w:after="0"/>
              <w:rPr>
                <w:sz w:val="20"/>
                <w:szCs w:val="20"/>
                <w:color w:val="auto"/>
              </w:rPr>
            </w:pPr>
            <w:r>
              <w:rPr>
                <w:rFonts w:ascii="Arial" w:cs="Arial" w:eastAsia="Arial" w:hAnsi="Arial"/>
                <w:sz w:val="18"/>
                <w:szCs w:val="18"/>
                <w:color w:val="auto"/>
                <w:w w:val="87"/>
              </w:rPr>
              <w:t>4.7</w:t>
            </w:r>
          </w:p>
        </w:tc>
        <w:tc>
          <w:tcPr>
            <w:tcW w:w="9720" w:type="dxa"/>
            <w:vAlign w:val="bottom"/>
            <w:gridSpan w:val="35"/>
          </w:tcPr>
          <w:p>
            <w:pPr>
              <w:spacing w:after="0"/>
              <w:rPr>
                <w:rFonts w:ascii="Arial" w:cs="Arial" w:eastAsia="Arial" w:hAnsi="Arial"/>
                <w:sz w:val="18"/>
                <w:szCs w:val="18"/>
                <w:color w:val="0000FF"/>
                <w:w w:val="95"/>
              </w:rPr>
            </w:pPr>
            <w:hyperlink r:id="rId189">
              <w:r>
                <w:rPr>
                  <w:rFonts w:ascii="Arial" w:cs="Arial" w:eastAsia="Arial" w:hAnsi="Arial"/>
                  <w:sz w:val="18"/>
                  <w:szCs w:val="18"/>
                  <w:color w:val="0000FF"/>
                  <w:w w:val="95"/>
                </w:rPr>
                <w:t>Supplemental Indenture, dated September 17, 2019 by and between the Company, as Issuer and The Bank of New York Mellon</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918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89">
              <w:r>
                <w:rPr>
                  <w:rFonts w:ascii="Arial" w:cs="Arial" w:eastAsia="Arial" w:hAnsi="Arial"/>
                  <w:sz w:val="18"/>
                  <w:szCs w:val="18"/>
                  <w:color w:val="0000FF"/>
                  <w:w w:val="91"/>
                </w:rPr>
                <w:t>Trust Company, N.A., as Trustee (incorporated by reference to Exhibit 4.2 to Current Report on Form 8-K filed September 17,</w:t>
              </w:r>
            </w:hyperlink>
          </w:p>
        </w:tc>
        <w:tc>
          <w:tcPr>
            <w:tcW w:w="100" w:type="dxa"/>
            <w:vAlign w:val="bottom"/>
            <w:gridSpan w:val="5"/>
          </w:tcPr>
          <w:p>
            <w:pPr>
              <w:spacing w:after="0"/>
              <w:rPr>
                <w:sz w:val="13"/>
                <w:szCs w:val="13"/>
                <w:color w:val="auto"/>
              </w:rPr>
            </w:pPr>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89">
              <w:r>
                <w:rPr>
                  <w:rFonts w:ascii="Arial" w:cs="Arial" w:eastAsia="Arial" w:hAnsi="Arial"/>
                  <w:sz w:val="18"/>
                  <w:szCs w:val="18"/>
                  <w:color w:val="0000FF"/>
                  <w:w w:val="86"/>
                </w:rPr>
                <w:t>2019)</w:t>
              </w:r>
            </w:hyperlink>
          </w:p>
        </w:tc>
        <w:tc>
          <w:tcPr>
            <w:tcW w:w="21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20" w:type="dxa"/>
            <w:vAlign w:val="bottom"/>
          </w:tcPr>
          <w:p>
            <w:pPr>
              <w:jc w:val="center"/>
              <w:ind w:left="30"/>
              <w:spacing w:after="0"/>
              <w:rPr>
                <w:sz w:val="20"/>
                <w:szCs w:val="20"/>
                <w:color w:val="auto"/>
              </w:rPr>
            </w:pPr>
            <w:r>
              <w:rPr>
                <w:rFonts w:ascii="Arial" w:cs="Arial" w:eastAsia="Arial" w:hAnsi="Arial"/>
                <w:sz w:val="18"/>
                <w:szCs w:val="18"/>
                <w:color w:val="auto"/>
                <w:w w:val="91"/>
              </w:rPr>
              <w:t>4.8#</w:t>
            </w:r>
          </w:p>
        </w:tc>
        <w:tc>
          <w:tcPr>
            <w:tcW w:w="80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40">
              <w:r>
                <w:rPr>
                  <w:rFonts w:ascii="Arial" w:cs="Arial" w:eastAsia="Arial" w:hAnsi="Arial"/>
                  <w:sz w:val="18"/>
                  <w:szCs w:val="18"/>
                  <w:color w:val="0000FF"/>
                  <w:w w:val="90"/>
                </w:rPr>
                <w:t>Description of Registrant’s Securities Registered Pursuant to Section 12 of the Securities Exchange Act of 1934</w:t>
              </w:r>
            </w:hyperlink>
          </w:p>
        </w:tc>
        <w:tc>
          <w:tcPr>
            <w:tcW w:w="166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20" w:type="dxa"/>
            <w:vAlign w:val="bottom"/>
          </w:tcPr>
          <w:p>
            <w:pPr>
              <w:jc w:val="center"/>
              <w:ind w:left="30"/>
              <w:spacing w:after="0"/>
              <w:rPr>
                <w:sz w:val="20"/>
                <w:szCs w:val="20"/>
                <w:color w:val="auto"/>
              </w:rPr>
            </w:pPr>
            <w:r>
              <w:rPr>
                <w:rFonts w:ascii="Arial" w:cs="Arial" w:eastAsia="Arial" w:hAnsi="Arial"/>
                <w:sz w:val="18"/>
                <w:szCs w:val="18"/>
                <w:color w:val="auto"/>
                <w:w w:val="95"/>
              </w:rPr>
              <w:t>10.1*</w:t>
            </w:r>
          </w:p>
        </w:tc>
        <w:tc>
          <w:tcPr>
            <w:tcW w:w="9720" w:type="dxa"/>
            <w:vAlign w:val="bottom"/>
            <w:gridSpan w:val="35"/>
          </w:tcPr>
          <w:p>
            <w:pP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Offer Letter between the Company and John McLaughlin, dated November 4, 2008 (incorporated by reference to Exhibit 10.1 to</w:t>
              </w:r>
            </w:hyperlink>
          </w:p>
        </w:tc>
        <w:tc>
          <w:tcPr>
            <w:tcW w:w="0" w:type="dxa"/>
            <w:vAlign w:val="bottom"/>
          </w:tcPr>
          <w:p>
            <w:pPr>
              <w:spacing w:after="0"/>
              <w:rPr>
                <w:sz w:val="1"/>
                <w:szCs w:val="1"/>
                <w:color w:val="auto"/>
              </w:rPr>
            </w:pPr>
          </w:p>
        </w:tc>
      </w:tr>
      <w:tr>
        <w:trPr>
          <w:trHeight w:val="156"/>
        </w:trPr>
        <w:tc>
          <w:tcPr>
            <w:tcW w:w="1520" w:type="dxa"/>
            <w:vAlign w:val="bottom"/>
          </w:tcPr>
          <w:p>
            <w:pPr>
              <w:spacing w:after="0"/>
              <w:rPr>
                <w:sz w:val="13"/>
                <w:szCs w:val="13"/>
                <w:color w:val="auto"/>
              </w:rPr>
            </w:pPr>
          </w:p>
        </w:tc>
        <w:tc>
          <w:tcPr>
            <w:tcW w:w="92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Current Report on Form 8-K filed November 10, 2008)</w:t>
              </w:r>
            </w:hyperlink>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6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20" w:type="dxa"/>
            <w:vAlign w:val="bottom"/>
          </w:tcPr>
          <w:p>
            <w:pPr>
              <w:jc w:val="center"/>
              <w:ind w:left="30"/>
              <w:spacing w:after="0"/>
              <w:rPr>
                <w:sz w:val="20"/>
                <w:szCs w:val="20"/>
                <w:color w:val="auto"/>
              </w:rPr>
            </w:pPr>
            <w:r>
              <w:rPr>
                <w:rFonts w:ascii="Arial" w:cs="Arial" w:eastAsia="Arial" w:hAnsi="Arial"/>
                <w:sz w:val="18"/>
                <w:szCs w:val="18"/>
                <w:color w:val="auto"/>
                <w:w w:val="91"/>
              </w:rPr>
              <w:t>10.2</w:t>
            </w:r>
          </w:p>
        </w:tc>
        <w:tc>
          <w:tcPr>
            <w:tcW w:w="9720" w:type="dxa"/>
            <w:vAlign w:val="bottom"/>
            <w:gridSpan w:val="35"/>
          </w:tcPr>
          <w:p>
            <w:pPr>
              <w:spacing w:after="0"/>
              <w:rPr>
                <w:rFonts w:ascii="Arial" w:cs="Arial" w:eastAsia="Arial" w:hAnsi="Arial"/>
                <w:sz w:val="18"/>
                <w:szCs w:val="18"/>
                <w:color w:val="0000FF"/>
                <w:w w:val="96"/>
              </w:rPr>
            </w:pPr>
            <w:hyperlink r:id="rId191">
              <w:r>
                <w:rPr>
                  <w:rFonts w:ascii="Arial" w:cs="Arial" w:eastAsia="Arial" w:hAnsi="Arial"/>
                  <w:sz w:val="18"/>
                  <w:szCs w:val="18"/>
                  <w:color w:val="0000FF"/>
                  <w:w w:val="96"/>
                </w:rPr>
                <w:t>Tax Sharing and Indemnification Agreement, dated December 18, 2008, between the Company and Facet Biotech Corporation</w:t>
              </w:r>
            </w:hyperlink>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91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(incorporated by reference to Exhibit 10.3 to Current Report on Form 8-K filed December 23, 2008)</w:t>
              </w:r>
            </w:hyperlink>
          </w:p>
        </w:tc>
        <w:tc>
          <w:tcPr>
            <w:tcW w:w="60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966"/>
        </w:trPr>
        <w:tc>
          <w:tcPr>
            <w:tcW w:w="1520" w:type="dxa"/>
            <w:vAlign w:val="bottom"/>
          </w:tcPr>
          <w:p>
            <w:pPr>
              <w:spacing w:after="0"/>
              <w:rPr>
                <w:sz w:val="24"/>
                <w:szCs w:val="24"/>
                <w:color w:val="auto"/>
              </w:rPr>
            </w:pPr>
          </w:p>
        </w:tc>
        <w:tc>
          <w:tcPr>
            <w:tcW w:w="4280" w:type="dxa"/>
            <w:vAlign w:val="bottom"/>
            <w:tcBorders>
              <w:top w:val="single" w:sz="8" w:color="0000FF"/>
            </w:tcBorders>
            <w:gridSpan w:val="6"/>
          </w:tcPr>
          <w:p>
            <w:pPr>
              <w:ind w:left="3960"/>
              <w:spacing w:after="0"/>
              <w:rPr>
                <w:sz w:val="20"/>
                <w:szCs w:val="20"/>
                <w:color w:val="auto"/>
              </w:rPr>
            </w:pPr>
            <w:r>
              <w:rPr>
                <w:rFonts w:ascii="Arial" w:cs="Arial" w:eastAsia="Arial" w:hAnsi="Arial"/>
                <w:sz w:val="18"/>
                <w:szCs w:val="18"/>
                <w:color w:val="auto"/>
                <w:w w:val="99"/>
              </w:rPr>
              <w:t>134</w:t>
            </w: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34" w:name="page135"/>
    <w:bookmarkEnd w:id="134"/>
    <w:p>
      <w:pPr>
        <w:ind w:left="940" w:right="600" w:hanging="85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194">
        <w:r>
          <w:rPr>
            <w:rFonts w:ascii="Arial" w:cs="Arial" w:eastAsia="Arial" w:hAnsi="Arial"/>
            <w:sz w:val="18"/>
            <w:szCs w:val="18"/>
            <w:u w:val="single" w:color="auto"/>
            <w:color w:val="0000FF"/>
          </w:rPr>
          <w:t>Patent Licensing Master Agreement between the Company and Genentech, Inc., dated September 25, 1998 (incorporated by</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reference to Exhibit 10.10 to Quarterly Report on Form 10-Q filed November 16, 1998)†</w:t>
        </w:r>
      </w:hyperlink>
    </w:p>
    <w:p>
      <w:pPr>
        <w:spacing w:after="0" w:line="54" w:lineRule="exact"/>
        <w:rPr>
          <w:sz w:val="20"/>
          <w:szCs w:val="20"/>
          <w:color w:val="auto"/>
        </w:rPr>
      </w:pPr>
    </w:p>
    <w:p>
      <w:pPr>
        <w:ind w:left="940" w:right="280" w:hanging="856"/>
        <w:spacing w:after="0" w:line="212"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95">
        <w:r>
          <w:rPr>
            <w:rFonts w:ascii="Arial" w:cs="Arial" w:eastAsia="Arial" w:hAnsi="Arial"/>
            <w:sz w:val="18"/>
            <w:szCs w:val="18"/>
            <w:u w:val="single" w:color="auto"/>
            <w:color w:val="0000FF"/>
          </w:rPr>
          <w:t>Amendment No. 1 to Patent Licensing Master Agreement between the Company and Genentech, Inc., dated September 18, 2003</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(incorporated by reference to Exhibit 10.45 to Annual Report on Form 10-K filed</w:t>
        </w:r>
      </w:hyperlink>
    </w:p>
    <w:p>
      <w:pPr>
        <w:spacing w:after="0" w:line="1" w:lineRule="exact"/>
        <w:rPr>
          <w:sz w:val="20"/>
          <w:szCs w:val="20"/>
          <w:color w:val="auto"/>
        </w:rPr>
      </w:pPr>
    </w:p>
    <w:p>
      <w:pPr>
        <w:ind w:left="940"/>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March 8, 2004)†</w:t>
        </w:r>
      </w:hyperlink>
    </w:p>
    <w:p>
      <w:pPr>
        <w:spacing w:after="0" w:line="61" w:lineRule="exact"/>
        <w:rPr>
          <w:sz w:val="20"/>
          <w:szCs w:val="20"/>
          <w:color w:val="auto"/>
        </w:rPr>
      </w:pPr>
    </w:p>
    <w:p>
      <w:pPr>
        <w:ind w:left="940" w:right="300" w:hanging="85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96">
        <w:r>
          <w:rPr>
            <w:rFonts w:ascii="Arial" w:cs="Arial" w:eastAsia="Arial" w:hAnsi="Arial"/>
            <w:sz w:val="18"/>
            <w:szCs w:val="18"/>
            <w:u w:val="single" w:color="auto"/>
            <w:color w:val="0000FF"/>
          </w:rPr>
          <w:t>Amendment No. 2 to Patent Licensing Master Agreement between the Company and Genentech, Inc., dated December 18, 2003</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(incorporated by reference to Exhibit 10.26 to Annual Report on Form 10-K filed March 2, 2009)</w:t>
        </w:r>
      </w:hyperlink>
    </w:p>
    <w:p>
      <w:pPr>
        <w:spacing w:after="0" w:line="54" w:lineRule="exact"/>
        <w:rPr>
          <w:sz w:val="20"/>
          <w:szCs w:val="20"/>
          <w:color w:val="auto"/>
        </w:rPr>
      </w:pPr>
    </w:p>
    <w:p>
      <w:pPr>
        <w:ind w:left="940" w:right="480" w:hanging="856"/>
        <w:spacing w:after="0" w:line="25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197">
        <w:r>
          <w:rPr>
            <w:rFonts w:ascii="Arial" w:cs="Arial" w:eastAsia="Arial" w:hAnsi="Arial"/>
            <w:sz w:val="17"/>
            <w:szCs w:val="17"/>
            <w:u w:val="single" w:color="auto"/>
            <w:color w:val="0000FF"/>
          </w:rPr>
          <w:t>Amendment No. 1 to the Herceptin License Agreement between the Company and Genentech, Inc., dated December 18, 2003</w:t>
        </w:r>
      </w:hyperlink>
      <w:r>
        <w:rPr>
          <w:rFonts w:ascii="Arial" w:cs="Arial" w:eastAsia="Arial" w:hAnsi="Arial"/>
          <w:sz w:val="17"/>
          <w:szCs w:val="17"/>
          <w:u w:val="single" w:color="auto"/>
          <w:color w:val="0000FF"/>
        </w:rPr>
        <w:t xml:space="preserve"> </w:t>
      </w:r>
      <w:hyperlink r:id="rId197">
        <w:r>
          <w:rPr>
            <w:rFonts w:ascii="Arial" w:cs="Arial" w:eastAsia="Arial" w:hAnsi="Arial"/>
            <w:sz w:val="17"/>
            <w:szCs w:val="17"/>
            <w:u w:val="single" w:color="auto"/>
            <w:color w:val="0000FF"/>
          </w:rPr>
          <w:t>(incorporated by reference to Exhibit 10.47 to Annual Report on Form 10-K filed March 8, 2004)</w:t>
        </w:r>
      </w:hyperlink>
    </w:p>
    <w:p>
      <w:pPr>
        <w:spacing w:after="0" w:line="23" w:lineRule="exact"/>
        <w:rPr>
          <w:sz w:val="20"/>
          <w:szCs w:val="20"/>
          <w:color w:val="auto"/>
        </w:rPr>
      </w:pPr>
    </w:p>
    <w:p>
      <w:pPr>
        <w:ind w:left="8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198">
        <w:r>
          <w:rPr>
            <w:rFonts w:ascii="Arial" w:cs="Arial" w:eastAsia="Arial" w:hAnsi="Arial"/>
            <w:sz w:val="16"/>
            <w:szCs w:val="16"/>
            <w:u w:val="single" w:color="auto"/>
            <w:color w:val="0000FF"/>
          </w:rPr>
          <w:t>Patent License Agreement, dated July 17, 1997, between the Company and MedImmune Inc. (incorporated by reference to Exhibit</w:t>
        </w:r>
      </w:hyperlink>
    </w:p>
    <w:p>
      <w:pPr>
        <w:ind w:left="940"/>
        <w:spacing w:after="0"/>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10.1 to Current Report on Form 8-K filed January 24, 2011)†</w:t>
        </w:r>
      </w:hyperlink>
    </w:p>
    <w:p>
      <w:pPr>
        <w:spacing w:after="0" w:line="61" w:lineRule="exact"/>
        <w:rPr>
          <w:sz w:val="20"/>
          <w:szCs w:val="20"/>
          <w:color w:val="auto"/>
        </w:rPr>
      </w:pPr>
    </w:p>
    <w:p>
      <w:pPr>
        <w:ind w:left="940" w:right="480" w:hanging="85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99">
        <w:r>
          <w:rPr>
            <w:rFonts w:ascii="Arial" w:cs="Arial" w:eastAsia="Arial" w:hAnsi="Arial"/>
            <w:sz w:val="18"/>
            <w:szCs w:val="18"/>
            <w:u w:val="single" w:color="auto"/>
            <w:color w:val="0000FF"/>
          </w:rPr>
          <w:t>Patent License Agreement, dated April 24, 1998, between the Company and Elan International Services Ltd. (incorporated by</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reference to Exhibit 10.29 to Annual Report on Form 10-K filed March 2, 2009) †</w:t>
        </w:r>
      </w:hyperlink>
    </w:p>
    <w:p>
      <w:pPr>
        <w:spacing w:after="0" w:line="54" w:lineRule="exact"/>
        <w:rPr>
          <w:sz w:val="20"/>
          <w:szCs w:val="20"/>
          <w:color w:val="auto"/>
        </w:rPr>
      </w:pPr>
    </w:p>
    <w:p>
      <w:pPr>
        <w:ind w:left="940" w:right="8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200">
        <w:r>
          <w:rPr>
            <w:rFonts w:ascii="Arial" w:cs="Arial" w:eastAsia="Arial" w:hAnsi="Arial"/>
            <w:sz w:val="18"/>
            <w:szCs w:val="18"/>
            <w:u w:val="single" w:color="auto"/>
            <w:color w:val="0000FF"/>
          </w:rPr>
          <w:t>Offer Letter between the Company and Christopher Stone, dated December 30, 2008 (incorporated by reference to Exhibit 10.29 to</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Annual Report on Form 10-K filed March 1, 2010)</w:t>
        </w:r>
      </w:hyperlink>
    </w:p>
    <w:p>
      <w:pPr>
        <w:spacing w:after="0" w:line="38" w:lineRule="exact"/>
        <w:rPr>
          <w:sz w:val="20"/>
          <w:szCs w:val="20"/>
          <w:color w:val="auto"/>
        </w:rPr>
      </w:pPr>
    </w:p>
    <w:p>
      <w:pPr>
        <w:ind w:left="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201">
        <w:r>
          <w:rPr>
            <w:rFonts w:ascii="Arial" w:cs="Arial" w:eastAsia="Arial" w:hAnsi="Arial"/>
            <w:sz w:val="16"/>
            <w:szCs w:val="16"/>
            <w:u w:val="single" w:color="auto"/>
            <w:color w:val="0000FF"/>
          </w:rPr>
          <w:t>Settlement Agreement between the Company and Genentech, Inc., dated December 18, 2003 (incorporated by reference to Exhibit</w:t>
        </w:r>
      </w:hyperlink>
    </w:p>
    <w:p>
      <w:pPr>
        <w:ind w:left="940"/>
        <w:spacing w:after="0"/>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10.1 to Quarterly Report on Form 10-Q filed November 9, 2010) †</w:t>
        </w:r>
      </w:hyperlink>
    </w:p>
    <w:p>
      <w:pPr>
        <w:spacing w:after="0" w:line="61" w:lineRule="exact"/>
        <w:rPr>
          <w:sz w:val="20"/>
          <w:szCs w:val="20"/>
          <w:color w:val="auto"/>
        </w:rPr>
      </w:pPr>
    </w:p>
    <w:p>
      <w:pPr>
        <w:ind w:left="940" w:right="600" w:hanging="898"/>
        <w:spacing w:after="0" w:line="25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202">
        <w:r>
          <w:rPr>
            <w:rFonts w:ascii="Arial" w:cs="Arial" w:eastAsia="Arial" w:hAnsi="Arial"/>
            <w:sz w:val="17"/>
            <w:szCs w:val="17"/>
            <w:u w:val="single" w:color="auto"/>
            <w:color w:val="0000FF"/>
          </w:rPr>
          <w:t>Amended and Restated Patent Licensing Master Agreement between the Company and Genentech, Inc., dated July 27, 2009</w:t>
        </w:r>
      </w:hyperlink>
      <w:r>
        <w:rPr>
          <w:rFonts w:ascii="Arial" w:cs="Arial" w:eastAsia="Arial" w:hAnsi="Arial"/>
          <w:sz w:val="17"/>
          <w:szCs w:val="17"/>
          <w:u w:val="single" w:color="auto"/>
          <w:color w:val="0000FF"/>
        </w:rPr>
        <w:t xml:space="preserve"> </w:t>
      </w:r>
      <w:hyperlink r:id="rId202">
        <w:r>
          <w:rPr>
            <w:rFonts w:ascii="Arial" w:cs="Arial" w:eastAsia="Arial" w:hAnsi="Arial"/>
            <w:sz w:val="17"/>
            <w:szCs w:val="17"/>
            <w:u w:val="single" w:color="auto"/>
            <w:color w:val="0000FF"/>
          </w:rPr>
          <w:t>(incorporated by reference to Exhibit 10.2 to Quarterly Report on Form 10-Q filed November 9, 2010)†</w:t>
        </w:r>
      </w:hyperlink>
    </w:p>
    <w:p>
      <w:pPr>
        <w:spacing w:after="0" w:line="39" w:lineRule="exact"/>
        <w:rPr>
          <w:sz w:val="20"/>
          <w:szCs w:val="20"/>
          <w:color w:val="auto"/>
        </w:rPr>
      </w:pPr>
    </w:p>
    <w:p>
      <w:pPr>
        <w:ind w:left="940" w:right="560" w:hanging="901"/>
        <w:spacing w:after="0" w:line="25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203">
        <w:r>
          <w:rPr>
            <w:rFonts w:ascii="Arial" w:cs="Arial" w:eastAsia="Arial" w:hAnsi="Arial"/>
            <w:sz w:val="17"/>
            <w:szCs w:val="17"/>
            <w:u w:val="single" w:color="auto"/>
            <w:color w:val="0000FF"/>
          </w:rPr>
          <w:t>Amendments to Product Licenses and Settlement Agreement between the Company and Genentech, Inc. dated July 27, 2009</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(incorporated by reference to Exhibit 10.3 to Quarterly Report on Form 10-Q filed November 9, 2010)</w:t>
        </w:r>
      </w:hyperlink>
    </w:p>
    <w:p>
      <w:pPr>
        <w:spacing w:after="0" w:line="39" w:lineRule="exact"/>
        <w:rPr>
          <w:sz w:val="20"/>
          <w:szCs w:val="20"/>
          <w:color w:val="auto"/>
        </w:rPr>
      </w:pPr>
    </w:p>
    <w:p>
      <w:pPr>
        <w:ind w:left="940" w:right="48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204">
        <w:r>
          <w:rPr>
            <w:rFonts w:ascii="Arial" w:cs="Arial" w:eastAsia="Arial" w:hAnsi="Arial"/>
            <w:sz w:val="18"/>
            <w:szCs w:val="18"/>
            <w:u w:val="single" w:color="auto"/>
            <w:color w:val="0000FF"/>
          </w:rPr>
          <w:t>Lease Agreement between 932936, LLC and the Company, dated April 17, 2012 (incorporated by reference to Exhibit 10.1 to</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Quarterly Report on Form 10-Q filed May 3, 2012)</w:t>
        </w:r>
      </w:hyperlink>
    </w:p>
    <w:p>
      <w:pPr>
        <w:spacing w:after="0" w:line="54" w:lineRule="exact"/>
        <w:rPr>
          <w:sz w:val="20"/>
          <w:szCs w:val="20"/>
          <w:color w:val="auto"/>
        </w:rPr>
      </w:pPr>
    </w:p>
    <w:p>
      <w:pPr>
        <w:ind w:left="940" w:right="32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205">
        <w:r>
          <w:rPr>
            <w:rFonts w:ascii="Arial" w:cs="Arial" w:eastAsia="Arial" w:hAnsi="Arial"/>
            <w:sz w:val="18"/>
            <w:szCs w:val="18"/>
            <w:u w:val="single" w:color="auto"/>
            <w:color w:val="0000FF"/>
          </w:rPr>
          <w:t>Credit Agreement between the Company and Wellstat Diagnostics, LLC, dated November 2, 2012 (incorporated by reference to</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Exhibit 10.50 to Annual Report on Form 10-K filed March 1, 2013)†</w:t>
        </w:r>
      </w:hyperlink>
    </w:p>
    <w:p>
      <w:pPr>
        <w:spacing w:after="0" w:line="54" w:lineRule="exact"/>
        <w:rPr>
          <w:sz w:val="20"/>
          <w:szCs w:val="20"/>
          <w:color w:val="auto"/>
        </w:rPr>
      </w:pPr>
    </w:p>
    <w:p>
      <w:pPr>
        <w:ind w:left="940" w:right="46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206">
        <w:r>
          <w:rPr>
            <w:rFonts w:ascii="Arial" w:cs="Arial" w:eastAsia="Arial" w:hAnsi="Arial"/>
            <w:sz w:val="18"/>
            <w:szCs w:val="18"/>
            <w:u w:val="single" w:color="auto"/>
            <w:color w:val="0000FF"/>
          </w:rPr>
          <w:t>Credit Agreement between the Company and Avinger, Inc., dated April 18, 2013 (incorporated by reference to Exhibit 10.1 to</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Quarterly Report on Form 10-Q filed August 8, 2013)†</w:t>
        </w:r>
      </w:hyperlink>
    </w:p>
    <w:p>
      <w:pPr>
        <w:spacing w:after="0" w:line="54" w:lineRule="exact"/>
        <w:rPr>
          <w:sz w:val="20"/>
          <w:szCs w:val="20"/>
          <w:color w:val="auto"/>
        </w:rPr>
      </w:pPr>
    </w:p>
    <w:p>
      <w:pPr>
        <w:ind w:left="940" w:right="900" w:hanging="901"/>
        <w:spacing w:after="0" w:line="25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10.16</w:t>
      </w:r>
      <w:r>
        <w:rPr>
          <w:sz w:val="20"/>
          <w:szCs w:val="20"/>
          <w:color w:val="auto"/>
        </w:rPr>
        <w:tab/>
      </w:r>
      <w:hyperlink r:id="rId207">
        <w:r>
          <w:rPr>
            <w:rFonts w:ascii="Arial" w:cs="Arial" w:eastAsia="Arial" w:hAnsi="Arial"/>
            <w:sz w:val="17"/>
            <w:szCs w:val="17"/>
            <w:u w:val="single" w:color="auto"/>
            <w:color w:val="0000FF"/>
          </w:rPr>
          <w:t>Amended and Restated Credit Agreement between the Company and Wellstat Diagnostics, LLC, dated August 15, 2013</w:t>
        </w:r>
      </w:hyperlink>
      <w:r>
        <w:rPr>
          <w:rFonts w:ascii="Arial" w:cs="Arial" w:eastAsia="Arial" w:hAnsi="Arial"/>
          <w:sz w:val="17"/>
          <w:szCs w:val="17"/>
          <w:u w:val="single" w:color="auto"/>
          <w:color w:val="0000FF"/>
        </w:rPr>
        <w:t xml:space="preserve"> </w:t>
      </w:r>
      <w:hyperlink r:id="rId207">
        <w:r>
          <w:rPr>
            <w:rFonts w:ascii="Arial" w:cs="Arial" w:eastAsia="Arial" w:hAnsi="Arial"/>
            <w:sz w:val="17"/>
            <w:szCs w:val="17"/>
            <w:u w:val="single" w:color="auto"/>
            <w:color w:val="0000FF"/>
          </w:rPr>
          <w:t>(incorporated by reference to Exhibit 10.2 to Quarterly Report on Form 10-Q filed November 6, 2013)†</w:t>
        </w:r>
      </w:hyperlink>
    </w:p>
    <w:p>
      <w:pPr>
        <w:spacing w:after="0" w:line="39" w:lineRule="exact"/>
        <w:rPr>
          <w:sz w:val="20"/>
          <w:szCs w:val="20"/>
          <w:color w:val="auto"/>
        </w:rPr>
      </w:pPr>
    </w:p>
    <w:p>
      <w:pPr>
        <w:ind w:left="940" w:right="42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208">
        <w:r>
          <w:rPr>
            <w:rFonts w:ascii="Arial" w:cs="Arial" w:eastAsia="Arial" w:hAnsi="Arial"/>
            <w:sz w:val="18"/>
            <w:szCs w:val="18"/>
            <w:u w:val="single" w:color="auto"/>
            <w:color w:val="0000FF"/>
          </w:rPr>
          <w:t>Form of Credit Agreement between the Company and certain borrowers (incorporated by reference to Exhibit 10.56 to Annual</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Report on Form 10-K filed March 3, 2014)</w:t>
        </w:r>
      </w:hyperlink>
    </w:p>
    <w:p>
      <w:pPr>
        <w:spacing w:after="0" w:line="54" w:lineRule="exact"/>
        <w:rPr>
          <w:sz w:val="20"/>
          <w:szCs w:val="20"/>
          <w:color w:val="auto"/>
        </w:rPr>
      </w:pPr>
    </w:p>
    <w:p>
      <w:pPr>
        <w:ind w:left="940" w:right="14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209">
        <w:r>
          <w:rPr>
            <w:rFonts w:ascii="Arial" w:cs="Arial" w:eastAsia="Arial" w:hAnsi="Arial"/>
            <w:sz w:val="18"/>
            <w:szCs w:val="18"/>
            <w:u w:val="single" w:color="auto"/>
            <w:color w:val="0000FF"/>
          </w:rPr>
          <w:t>Royalty Purchase and Sale Agreement between the Company and Depomed, Inc. and Depo DR Sub, LLC, dated October 18, 2013</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(incorporated by reference to Exhibit 10.58 to Annual Report on Form 10-K filed March 3, 2014)†</w:t>
        </w:r>
      </w:hyperlink>
    </w:p>
    <w:p>
      <w:pPr>
        <w:spacing w:after="0" w:line="54" w:lineRule="exact"/>
        <w:rPr>
          <w:sz w:val="20"/>
          <w:szCs w:val="20"/>
          <w:color w:val="auto"/>
        </w:rPr>
      </w:pPr>
    </w:p>
    <w:p>
      <w:pPr>
        <w:ind w:left="940" w:right="18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210">
        <w:r>
          <w:rPr>
            <w:rFonts w:ascii="Arial" w:cs="Arial" w:eastAsia="Arial" w:hAnsi="Arial"/>
            <w:sz w:val="18"/>
            <w:szCs w:val="18"/>
            <w:u w:val="single" w:color="auto"/>
            <w:color w:val="0000FF"/>
          </w:rPr>
          <w:t>Settlement Agreement among Genentech, Inc., F. Hoffman-la Roche Ltd. and the Company, dated January 31, 2014 (incorporated</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by reference to Exhibit 10.2 to Quarterly Report on Form 10-Q filed May 12, 2014)†</w:t>
        </w:r>
      </w:hyperlink>
    </w:p>
    <w:p>
      <w:pPr>
        <w:spacing w:after="0" w:line="54" w:lineRule="exact"/>
        <w:rPr>
          <w:sz w:val="20"/>
          <w:szCs w:val="20"/>
          <w:color w:val="auto"/>
        </w:rPr>
      </w:pPr>
    </w:p>
    <w:p>
      <w:pPr>
        <w:ind w:left="940" w:right="680" w:hanging="901"/>
        <w:spacing w:after="0" w:line="25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10.20</w:t>
      </w:r>
      <w:r>
        <w:rPr>
          <w:sz w:val="20"/>
          <w:szCs w:val="20"/>
          <w:color w:val="auto"/>
        </w:rPr>
        <w:tab/>
      </w:r>
      <w:hyperlink r:id="rId211">
        <w:r>
          <w:rPr>
            <w:rFonts w:ascii="Arial" w:cs="Arial" w:eastAsia="Arial" w:hAnsi="Arial"/>
            <w:sz w:val="17"/>
            <w:szCs w:val="17"/>
            <w:u w:val="single" w:color="auto"/>
            <w:color w:val="0000FF"/>
          </w:rPr>
          <w:t>Summary of omitted Credit Agreement between PDL BioPharma, Inc. and Paradigm Spine, LLC, dated February 14, 2014</w:t>
        </w:r>
      </w:hyperlink>
      <w:r>
        <w:rPr>
          <w:rFonts w:ascii="Arial" w:cs="Arial" w:eastAsia="Arial" w:hAnsi="Arial"/>
          <w:sz w:val="17"/>
          <w:szCs w:val="17"/>
          <w:u w:val="single" w:color="auto"/>
          <w:color w:val="0000FF"/>
        </w:rPr>
        <w:t xml:space="preserve"> </w:t>
      </w:r>
      <w:hyperlink r:id="rId211">
        <w:r>
          <w:rPr>
            <w:rFonts w:ascii="Arial" w:cs="Arial" w:eastAsia="Arial" w:hAnsi="Arial"/>
            <w:sz w:val="17"/>
            <w:szCs w:val="17"/>
            <w:u w:val="single" w:color="auto"/>
            <w:color w:val="0000FF"/>
          </w:rPr>
          <w:t>(incorporated by reference to Exhibit 10.5 to Quarterly Report on Form 10-Q filed May 12, 2014)</w:t>
        </w:r>
      </w:hyperlink>
    </w:p>
    <w:p>
      <w:pPr>
        <w:spacing w:after="0" w:line="23" w:lineRule="exact"/>
        <w:rPr>
          <w:sz w:val="20"/>
          <w:szCs w:val="20"/>
          <w:color w:val="auto"/>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212">
        <w:r>
          <w:rPr>
            <w:rFonts w:ascii="Arial" w:cs="Arial" w:eastAsia="Arial" w:hAnsi="Arial"/>
            <w:sz w:val="16"/>
            <w:szCs w:val="16"/>
            <w:u w:val="single" w:color="auto"/>
            <w:color w:val="0000FF"/>
          </w:rPr>
          <w:t>2014/18 Long-Term Incentive Plan (incorporated by reference to Exhibit 10.2 to Quarterly Report on Form 10-Q filed August 18,</w:t>
        </w:r>
      </w:hyperlink>
    </w:p>
    <w:p>
      <w:pPr>
        <w:ind w:left="940"/>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2014)</w:t>
        </w:r>
      </w:hyperlink>
    </w:p>
    <w:p>
      <w:pPr>
        <w:spacing w:after="0" w:line="61" w:lineRule="exact"/>
        <w:rPr>
          <w:sz w:val="20"/>
          <w:szCs w:val="20"/>
          <w:color w:val="auto"/>
        </w:rPr>
      </w:pPr>
    </w:p>
    <w:p>
      <w:pPr>
        <w:ind w:left="940" w:right="10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213">
        <w:r>
          <w:rPr>
            <w:rFonts w:ascii="Arial" w:cs="Arial" w:eastAsia="Arial" w:hAnsi="Arial"/>
            <w:sz w:val="18"/>
            <w:szCs w:val="18"/>
            <w:u w:val="single" w:color="auto"/>
            <w:color w:val="0000FF"/>
          </w:rPr>
          <w:t>First Amendment to Lease Agreement between 932936, LLC and the Company, effective May 27, 2014 (incorporated by reference</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to Exhibit 10.3 to Quarterly Report on Form 10-Q filed August 18, 2014)</w:t>
        </w:r>
      </w:hyperlink>
    </w:p>
    <w:p>
      <w:pPr>
        <w:spacing w:after="0" w:line="38" w:lineRule="exact"/>
        <w:rPr>
          <w:sz w:val="20"/>
          <w:szCs w:val="20"/>
          <w:color w:val="auto"/>
        </w:rPr>
      </w:pPr>
    </w:p>
    <w:p>
      <w:pPr>
        <w:ind w:left="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214">
        <w:r>
          <w:rPr>
            <w:rFonts w:ascii="Arial" w:cs="Arial" w:eastAsia="Arial" w:hAnsi="Arial"/>
            <w:sz w:val="16"/>
            <w:szCs w:val="16"/>
            <w:u w:val="single" w:color="auto"/>
            <w:color w:val="0000FF"/>
          </w:rPr>
          <w:t>First Amendment to Amended and Restated Credit Agreement between the Company and Wellstat Diagnostics, LLC, dated June 19,</w:t>
        </w:r>
      </w:hyperlink>
    </w:p>
    <w:p>
      <w:pPr>
        <w:ind w:left="940"/>
        <w:spacing w:after="0"/>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2014 (incorporated by reference to Exhibit 10.4 to Quarterly Report on Form 10-Q filed August 18, 2014)†</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900" w:top="1070" w:right="519" w:bottom="1440" w:gutter="0" w:footer="0" w:header="0"/>
        </w:sectPr>
      </w:pPr>
    </w:p>
    <w:bookmarkStart w:id="135" w:name="page136"/>
    <w:bookmarkEnd w:id="135"/>
    <w:p>
      <w:pPr>
        <w:ind w:left="940" w:right="460" w:hanging="901"/>
        <w:spacing w:after="0" w:line="289" w:lineRule="auto"/>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216">
        <w:r>
          <w:rPr>
            <w:rFonts w:ascii="Arial" w:cs="Arial" w:eastAsia="Arial" w:hAnsi="Arial"/>
            <w:sz w:val="16"/>
            <w:szCs w:val="16"/>
            <w:u w:val="single" w:color="auto"/>
            <w:color w:val="0000FF"/>
          </w:rPr>
          <w:t>Second Amendment to Amended and Restated Credit Agreement between the Company and Wellstat Diagnostics, LLC, dated</w:t>
        </w:r>
      </w:hyperlink>
      <w:r>
        <w:rPr>
          <w:rFonts w:ascii="Arial" w:cs="Arial" w:eastAsia="Arial" w:hAnsi="Arial"/>
          <w:sz w:val="16"/>
          <w:szCs w:val="16"/>
          <w:u w:val="single" w:color="auto"/>
          <w:color w:val="0000FF"/>
        </w:rPr>
        <w:t xml:space="preserve"> </w:t>
      </w:r>
      <w:hyperlink r:id="rId216">
        <w:r>
          <w:rPr>
            <w:rFonts w:ascii="Arial" w:cs="Arial" w:eastAsia="Arial" w:hAnsi="Arial"/>
            <w:sz w:val="16"/>
            <w:szCs w:val="16"/>
            <w:u w:val="single" w:color="auto"/>
            <w:color w:val="0000FF"/>
          </w:rPr>
          <w:t>August 21, 2014 (incorporated by reference to Exhibit 10.64 to Annual Report on Form 10-K filed February 23, 2015)†</w:t>
        </w:r>
      </w:hyperlink>
    </w:p>
    <w:p>
      <w:pPr>
        <w:spacing w:after="0" w:line="16" w:lineRule="exact"/>
        <w:rPr>
          <w:sz w:val="20"/>
          <w:szCs w:val="20"/>
          <w:color w:val="auto"/>
        </w:rPr>
      </w:pPr>
    </w:p>
    <w:p>
      <w:pPr>
        <w:ind w:left="940" w:right="600" w:hanging="901"/>
        <w:spacing w:after="0" w:line="289" w:lineRule="auto"/>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217">
        <w:r>
          <w:rPr>
            <w:rFonts w:ascii="Arial" w:cs="Arial" w:eastAsia="Arial" w:hAnsi="Arial"/>
            <w:sz w:val="16"/>
            <w:szCs w:val="16"/>
            <w:u w:val="single" w:color="auto"/>
            <w:color w:val="0000FF"/>
          </w:rPr>
          <w:t>Third Amendment to Amended and Restated Credit Agreement between the Company and Wellstat Diagnostics, LLC, dated</w:t>
        </w:r>
      </w:hyperlink>
      <w:r>
        <w:rPr>
          <w:rFonts w:ascii="Arial" w:cs="Arial" w:eastAsia="Arial" w:hAnsi="Arial"/>
          <w:sz w:val="16"/>
          <w:szCs w:val="16"/>
          <w:u w:val="single" w:color="auto"/>
          <w:color w:val="0000FF"/>
        </w:rPr>
        <w:t xml:space="preserve"> </w:t>
      </w:r>
      <w:hyperlink r:id="rId217">
        <w:r>
          <w:rPr>
            <w:rFonts w:ascii="Arial" w:cs="Arial" w:eastAsia="Arial" w:hAnsi="Arial"/>
            <w:sz w:val="16"/>
            <w:szCs w:val="16"/>
            <w:u w:val="single" w:color="auto"/>
            <w:color w:val="0000FF"/>
          </w:rPr>
          <w:t>November 4, 2014 (incorporated by reference to Exhibit 10.65 to Annual Report on Form 10-K filed February 23, 2015)†</w:t>
        </w:r>
      </w:hyperlink>
    </w:p>
    <w:p>
      <w:pPr>
        <w:spacing w:after="0" w:line="16" w:lineRule="exact"/>
        <w:rPr>
          <w:sz w:val="20"/>
          <w:szCs w:val="20"/>
          <w:color w:val="auto"/>
        </w:rPr>
      </w:pPr>
    </w:p>
    <w:p>
      <w:pPr>
        <w:ind w:left="940" w:right="18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218">
        <w:r>
          <w:rPr>
            <w:rFonts w:ascii="Arial" w:cs="Arial" w:eastAsia="Arial" w:hAnsi="Arial"/>
            <w:sz w:val="18"/>
            <w:szCs w:val="18"/>
            <w:u w:val="single" w:color="auto"/>
            <w:color w:val="0000FF"/>
          </w:rPr>
          <w:t>Schedule of Amendment to Omitted Credit Amendment between PDL BioPharma, Inc. and Direct Flow Medical (incorporated by</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reference to Exhibit 10.67 to Annual Report on Form 10-K filed February 23, 2015)</w:t>
        </w:r>
      </w:hyperlink>
    </w:p>
    <w:p>
      <w:pPr>
        <w:spacing w:after="0" w:line="54" w:lineRule="exact"/>
        <w:rPr>
          <w:sz w:val="20"/>
          <w:szCs w:val="20"/>
          <w:color w:val="auto"/>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219">
        <w:r>
          <w:rPr>
            <w:rFonts w:ascii="Arial" w:cs="Arial" w:eastAsia="Arial" w:hAnsi="Arial"/>
            <w:sz w:val="16"/>
            <w:szCs w:val="16"/>
            <w:u w:val="single" w:color="auto"/>
            <w:color w:val="0000FF"/>
          </w:rPr>
          <w:t>2015/19 Long-Term Incentive Plan (incorporated by reference to Exhibit 10.2 to Quarterly Report on Form 10-Q filed May 6, 2015)</w:t>
        </w:r>
      </w:hyperlink>
    </w:p>
    <w:p>
      <w:pPr>
        <w:spacing w:after="0" w:line="77" w:lineRule="exact"/>
        <w:rPr>
          <w:sz w:val="20"/>
          <w:szCs w:val="20"/>
          <w:color w:val="auto"/>
        </w:rPr>
      </w:pPr>
    </w:p>
    <w:p>
      <w:pPr>
        <w:ind w:left="940" w:right="64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220">
        <w:r>
          <w:rPr>
            <w:rFonts w:ascii="Arial" w:cs="Arial" w:eastAsia="Arial" w:hAnsi="Arial"/>
            <w:sz w:val="18"/>
            <w:szCs w:val="18"/>
            <w:u w:val="single" w:color="auto"/>
            <w:color w:val="0000FF"/>
          </w:rPr>
          <w:t>Second Amendment to Lease Agreement between 932936, LLC and the Company, effective May 19, 2015 (incorporated by</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reference to Exhibit 10.3 to Quarterly Report on Form 10-Q filed August 5, 2015)</w:t>
        </w:r>
      </w:hyperlink>
    </w:p>
    <w:p>
      <w:pPr>
        <w:spacing w:after="0" w:line="38" w:lineRule="exact"/>
        <w:rPr>
          <w:sz w:val="20"/>
          <w:szCs w:val="20"/>
          <w:color w:val="auto"/>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221">
        <w:r>
          <w:rPr>
            <w:rFonts w:ascii="Arial" w:cs="Arial" w:eastAsia="Arial" w:hAnsi="Arial"/>
            <w:sz w:val="16"/>
            <w:szCs w:val="16"/>
            <w:u w:val="single" w:color="auto"/>
            <w:color w:val="0000FF"/>
          </w:rPr>
          <w:t>Amended and Restated 2015/19 Long-Term Incentive Plan (incorporated by reference to Exhibit 10.2 to Quarterly Report on Form</w:t>
        </w:r>
      </w:hyperlink>
    </w:p>
    <w:p>
      <w:pPr>
        <w:ind w:left="940"/>
        <w:spacing w:after="0"/>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10-Q filed November 4, 2015)</w:t>
        </w:r>
      </w:hyperlink>
    </w:p>
    <w:p>
      <w:pPr>
        <w:spacing w:after="0" w:line="61" w:lineRule="exact"/>
        <w:rPr>
          <w:sz w:val="20"/>
          <w:szCs w:val="20"/>
          <w:color w:val="auto"/>
        </w:rPr>
      </w:pPr>
    </w:p>
    <w:p>
      <w:pPr>
        <w:ind w:left="940" w:right="380" w:hanging="901"/>
        <w:spacing w:after="0" w:line="22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222">
        <w:r>
          <w:rPr>
            <w:rFonts w:ascii="Arial" w:cs="Arial" w:eastAsia="Arial" w:hAnsi="Arial"/>
            <w:sz w:val="18"/>
            <w:szCs w:val="18"/>
            <w:u w:val="single" w:color="auto"/>
            <w:color w:val="0000FF"/>
          </w:rPr>
          <w:t>Schedule of Amendments to Omitted Credit Amendments between PDL BioPharma, Inc. and LENSAR, Inc. and between PDL</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BioPharma, Inc. and Paradigm Spine, LLC (incorporated by reference to Exhibit 10.71 to Annual Report on Form 10-K filed</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February 23, 2016)</w:t>
        </w:r>
      </w:hyperlink>
    </w:p>
    <w:p>
      <w:pPr>
        <w:spacing w:after="0" w:line="55" w:lineRule="exact"/>
        <w:rPr>
          <w:rFonts w:ascii="Arial" w:cs="Arial" w:eastAsia="Arial" w:hAnsi="Arial"/>
          <w:sz w:val="18"/>
          <w:szCs w:val="18"/>
          <w:u w:val="single" w:color="auto"/>
          <w:color w:val="0000FF"/>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223">
        <w:r>
          <w:rPr>
            <w:rFonts w:ascii="Arial" w:cs="Arial" w:eastAsia="Arial" w:hAnsi="Arial"/>
            <w:sz w:val="16"/>
            <w:szCs w:val="16"/>
            <w:u w:val="single" w:color="auto"/>
            <w:color w:val="0000FF"/>
          </w:rPr>
          <w:t>2016/20 Long-Term Incentive Plan (incorporated by reference to Exhibit 10.2 to Quarterly Report on Form 10-Q filed May 4, 2016)</w:t>
        </w:r>
      </w:hyperlink>
    </w:p>
    <w:p>
      <w:pPr>
        <w:spacing w:after="0" w:line="77" w:lineRule="exact"/>
        <w:rPr>
          <w:rFonts w:ascii="Arial" w:cs="Arial" w:eastAsia="Arial" w:hAnsi="Arial"/>
          <w:sz w:val="18"/>
          <w:szCs w:val="18"/>
          <w:u w:val="single" w:color="auto"/>
          <w:color w:val="0000FF"/>
        </w:rPr>
      </w:pPr>
    </w:p>
    <w:p>
      <w:pPr>
        <w:ind w:left="940" w:right="80" w:hanging="901"/>
        <w:spacing w:after="0" w:line="25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10.32</w:t>
      </w:r>
      <w:r>
        <w:rPr>
          <w:sz w:val="20"/>
          <w:szCs w:val="20"/>
          <w:color w:val="auto"/>
        </w:rPr>
        <w:tab/>
      </w:r>
      <w:hyperlink r:id="rId224">
        <w:r>
          <w:rPr>
            <w:rFonts w:ascii="Arial" w:cs="Arial" w:eastAsia="Arial" w:hAnsi="Arial"/>
            <w:sz w:val="17"/>
            <w:szCs w:val="17"/>
            <w:u w:val="single" w:color="auto"/>
            <w:color w:val="0000FF"/>
          </w:rPr>
          <w:t>Asset Purchase Agreement between Novartis AG, Novartis Pharma AG, Speedel Holding AG and Noden Pharma DAC, dated as of</w:t>
        </w:r>
      </w:hyperlink>
      <w:r>
        <w:rPr>
          <w:rFonts w:ascii="Arial" w:cs="Arial" w:eastAsia="Arial" w:hAnsi="Arial"/>
          <w:sz w:val="17"/>
          <w:szCs w:val="17"/>
          <w:u w:val="single" w:color="auto"/>
          <w:color w:val="0000FF"/>
        </w:rPr>
        <w:t xml:space="preserve"> </w:t>
      </w:r>
      <w:hyperlink r:id="rId224">
        <w:r>
          <w:rPr>
            <w:rFonts w:ascii="Arial" w:cs="Arial" w:eastAsia="Arial" w:hAnsi="Arial"/>
            <w:sz w:val="17"/>
            <w:szCs w:val="17"/>
            <w:u w:val="single" w:color="auto"/>
            <w:color w:val="0000FF"/>
          </w:rPr>
          <w:t>May 24, 2016 (incorporated by reference to Exhibit 2.1 to Current Report on Form 8-K/A filed August 3, 2016)†</w:t>
        </w:r>
      </w:hyperlink>
    </w:p>
    <w:p>
      <w:pPr>
        <w:spacing w:after="0" w:line="39" w:lineRule="exact"/>
        <w:rPr>
          <w:sz w:val="20"/>
          <w:szCs w:val="20"/>
          <w:color w:val="auto"/>
        </w:rPr>
      </w:pPr>
    </w:p>
    <w:p>
      <w:pPr>
        <w:ind w:left="940" w:right="14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225">
        <w:r>
          <w:rPr>
            <w:rFonts w:ascii="Arial" w:cs="Arial" w:eastAsia="Arial" w:hAnsi="Arial"/>
            <w:sz w:val="18"/>
            <w:szCs w:val="18"/>
            <w:u w:val="single" w:color="auto"/>
            <w:color w:val="0000FF"/>
          </w:rPr>
          <w:t>Schedule of Amendment to Omitted Credit Agreement between PDL BioPharma, Inc. and Direct Flow Medical, Inc. (incorporated</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by reference to Exhibit 10.2 to Quarterly Report on Form 10-Q filed August 4, 2016)</w:t>
        </w:r>
      </w:hyperlink>
    </w:p>
    <w:p>
      <w:pPr>
        <w:spacing w:after="0" w:line="54" w:lineRule="exact"/>
        <w:rPr>
          <w:sz w:val="20"/>
          <w:szCs w:val="20"/>
          <w:color w:val="auto"/>
        </w:rPr>
      </w:pPr>
    </w:p>
    <w:p>
      <w:pPr>
        <w:ind w:left="940" w:right="8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226">
        <w:r>
          <w:rPr>
            <w:rFonts w:ascii="Arial" w:cs="Arial" w:eastAsia="Arial" w:hAnsi="Arial"/>
            <w:sz w:val="18"/>
            <w:szCs w:val="18"/>
            <w:u w:val="single" w:color="auto"/>
            <w:color w:val="0000FF"/>
          </w:rPr>
          <w:t>Supply Agreement between Novartis Pharma AG and Noden Pharma DAC, dated as of May 24, 2016 (incorporated by reference to</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Exhibit 10.4 to Quarterly Report on Form 10-Q filed August 4, 2016)†</w:t>
        </w:r>
      </w:hyperlink>
    </w:p>
    <w:p>
      <w:pPr>
        <w:spacing w:after="0" w:line="54" w:lineRule="exact"/>
        <w:rPr>
          <w:sz w:val="20"/>
          <w:szCs w:val="20"/>
          <w:color w:val="auto"/>
        </w:rPr>
      </w:pPr>
    </w:p>
    <w:p>
      <w:pPr>
        <w:ind w:left="940" w:right="120" w:hanging="901"/>
        <w:spacing w:after="0" w:line="22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227">
        <w:r>
          <w:rPr>
            <w:rFonts w:ascii="Arial" w:cs="Arial" w:eastAsia="Arial" w:hAnsi="Arial"/>
            <w:sz w:val="18"/>
            <w:szCs w:val="18"/>
            <w:u w:val="single" w:color="auto"/>
            <w:color w:val="0000FF"/>
          </w:rPr>
          <w:t>Noden Pharma DAC Investment and Stockholders’ Agreement by and among Noden Pharma DAC, PDL BioPharma, Inc., Elie</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Farah and other Persons listed on Annex A thereto, dated as of July 1, 2016 (incorporated by reference to Exhibit 10.5 to Quarterly</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Report on Form 10-Q filed August 4, 2016)†</w:t>
        </w:r>
      </w:hyperlink>
    </w:p>
    <w:p>
      <w:pPr>
        <w:spacing w:after="0" w:line="55" w:lineRule="exact"/>
        <w:rPr>
          <w:rFonts w:ascii="Arial" w:cs="Arial" w:eastAsia="Arial" w:hAnsi="Arial"/>
          <w:sz w:val="18"/>
          <w:szCs w:val="18"/>
          <w:u w:val="single" w:color="auto"/>
          <w:color w:val="0000FF"/>
        </w:rPr>
      </w:pPr>
    </w:p>
    <w:p>
      <w:pPr>
        <w:ind w:left="940" w:right="62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228">
        <w:r>
          <w:rPr>
            <w:rFonts w:ascii="Arial" w:cs="Arial" w:eastAsia="Arial" w:hAnsi="Arial"/>
            <w:sz w:val="18"/>
            <w:szCs w:val="18"/>
            <w:u w:val="single" w:color="auto"/>
            <w:color w:val="0000FF"/>
          </w:rPr>
          <w:t>Schedule of Amendment to Omitted Credit Amendment between PDL BioPharma, Inc. and LENSAR, Inc. (incorporated by</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reference to Exhibit 10.75 to Annual Report on Form 10-K filed March 1, 2017)</w:t>
        </w:r>
      </w:hyperlink>
    </w:p>
    <w:p>
      <w:pPr>
        <w:spacing w:after="0" w:line="54" w:lineRule="exact"/>
        <w:rPr>
          <w:sz w:val="20"/>
          <w:szCs w:val="20"/>
          <w:color w:val="auto"/>
        </w:rPr>
      </w:pPr>
    </w:p>
    <w:p>
      <w:pPr>
        <w:ind w:left="94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229">
        <w:r>
          <w:rPr>
            <w:rFonts w:ascii="Arial" w:cs="Arial" w:eastAsia="Arial" w:hAnsi="Arial"/>
            <w:sz w:val="18"/>
            <w:szCs w:val="18"/>
            <w:u w:val="single" w:color="auto"/>
            <w:color w:val="0000FF"/>
          </w:rPr>
          <w:t>Third Amendment to Lease Agreement between 932936, LLC and the Company, effective April 24, 2017 (incorporated by reference</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to Exhibit 10.3 to Quarterly Report on Form 10-Q filed May 3, 2017)</w:t>
        </w:r>
      </w:hyperlink>
    </w:p>
    <w:p>
      <w:pPr>
        <w:spacing w:after="0" w:line="54" w:lineRule="exact"/>
        <w:rPr>
          <w:sz w:val="20"/>
          <w:szCs w:val="20"/>
          <w:color w:val="auto"/>
        </w:rPr>
      </w:pPr>
    </w:p>
    <w:p>
      <w:pPr>
        <w:ind w:left="940" w:right="30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230">
        <w:r>
          <w:rPr>
            <w:rFonts w:ascii="Arial" w:cs="Arial" w:eastAsia="Arial" w:hAnsi="Arial"/>
            <w:sz w:val="18"/>
            <w:szCs w:val="18"/>
            <w:u w:val="single" w:color="auto"/>
            <w:color w:val="0000FF"/>
          </w:rPr>
          <w:t>Offer Letter between the Company and Dominique Monnet, dated August 31, 2017 (incorporated by reference to Exhibit 10.1 to</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Current Report on Form 8-K filed September 11, 2017)</w:t>
        </w:r>
      </w:hyperlink>
    </w:p>
    <w:p>
      <w:pPr>
        <w:spacing w:after="0" w:line="54" w:lineRule="exact"/>
        <w:rPr>
          <w:sz w:val="20"/>
          <w:szCs w:val="20"/>
          <w:color w:val="auto"/>
        </w:rPr>
      </w:pPr>
    </w:p>
    <w:p>
      <w:pPr>
        <w:ind w:left="940" w:right="60" w:hanging="946"/>
        <w:spacing w:after="0" w:line="22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231">
        <w:r>
          <w:rPr>
            <w:rFonts w:ascii="Arial" w:cs="Arial" w:eastAsia="Arial" w:hAnsi="Arial"/>
            <w:sz w:val="18"/>
            <w:szCs w:val="18"/>
            <w:u w:val="single" w:color="auto"/>
            <w:color w:val="0000FF"/>
          </w:rPr>
          <w:t>Form of Nonstatutory Inducement Stock Option Grant Notice and Nonstatutory Inducement Stock Option Agreement between PDL</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BioPharma, Inc. and Dominique Monnet. (incorporated by reference to Exhibit 99.1 to Form S-8 Registration Statement filed</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September 12, 2017)</w:t>
        </w:r>
      </w:hyperlink>
    </w:p>
    <w:p>
      <w:pPr>
        <w:spacing w:after="0" w:line="55" w:lineRule="exact"/>
        <w:rPr>
          <w:rFonts w:ascii="Arial" w:cs="Arial" w:eastAsia="Arial" w:hAnsi="Arial"/>
          <w:sz w:val="18"/>
          <w:szCs w:val="18"/>
          <w:u w:val="single" w:color="auto"/>
          <w:color w:val="0000FF"/>
        </w:rPr>
      </w:pPr>
    </w:p>
    <w:p>
      <w:pPr>
        <w:ind w:left="940" w:right="40" w:hanging="946"/>
        <w:spacing w:after="0" w:line="289" w:lineRule="auto"/>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10.40*</w:t>
      </w:r>
      <w:r>
        <w:rPr>
          <w:sz w:val="20"/>
          <w:szCs w:val="20"/>
          <w:color w:val="auto"/>
        </w:rPr>
        <w:tab/>
      </w:r>
      <w:hyperlink r:id="rId232">
        <w:r>
          <w:rPr>
            <w:rFonts w:ascii="Arial" w:cs="Arial" w:eastAsia="Arial" w:hAnsi="Arial"/>
            <w:sz w:val="16"/>
            <w:szCs w:val="16"/>
            <w:u w:val="single" w:color="auto"/>
            <w:color w:val="0000FF"/>
          </w:rPr>
          <w:t>Form of Inducement Restricted Stock Grant Notice and Inducement Restricted Stock Agreement between PDL BioPharma, Inc. and</w:t>
        </w:r>
      </w:hyperlink>
      <w:r>
        <w:rPr>
          <w:rFonts w:ascii="Arial" w:cs="Arial" w:eastAsia="Arial" w:hAnsi="Arial"/>
          <w:sz w:val="16"/>
          <w:szCs w:val="16"/>
          <w:u w:val="single" w:color="auto"/>
          <w:color w:val="0000FF"/>
        </w:rPr>
        <w:t xml:space="preserve"> </w:t>
      </w:r>
      <w:hyperlink r:id="rId232">
        <w:r>
          <w:rPr>
            <w:rFonts w:ascii="Arial" w:cs="Arial" w:eastAsia="Arial" w:hAnsi="Arial"/>
            <w:sz w:val="16"/>
            <w:szCs w:val="16"/>
            <w:u w:val="single" w:color="auto"/>
            <w:color w:val="0000FF"/>
          </w:rPr>
          <w:t>Dominique Monnet (incorporated by reference to Exhibit 99.2 to Form S-8 Registration Statement filed September 12, 2017)</w:t>
        </w:r>
      </w:hyperlink>
    </w:p>
    <w:p>
      <w:pPr>
        <w:spacing w:after="0" w:line="16" w:lineRule="exact"/>
        <w:rPr>
          <w:sz w:val="20"/>
          <w:szCs w:val="20"/>
          <w:color w:val="auto"/>
        </w:rPr>
      </w:pPr>
    </w:p>
    <w:p>
      <w:pPr>
        <w:ind w:left="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10.41</w:t>
      </w:r>
      <w:r>
        <w:rPr>
          <w:sz w:val="20"/>
          <w:szCs w:val="20"/>
          <w:color w:val="auto"/>
        </w:rPr>
        <w:tab/>
      </w:r>
      <w:hyperlink r:id="rId233">
        <w:r>
          <w:rPr>
            <w:rFonts w:ascii="Arial" w:cs="Arial" w:eastAsia="Arial" w:hAnsi="Arial"/>
            <w:sz w:val="16"/>
            <w:szCs w:val="16"/>
            <w:u w:val="single" w:color="auto"/>
            <w:color w:val="0000FF"/>
          </w:rPr>
          <w:t>Fourth Amendment to Lease Agreement between 932936, LLC and the Company, effective December 1, 2017</w:t>
        </w:r>
      </w:hyperlink>
    </w:p>
    <w:p>
      <w:pPr>
        <w:spacing w:after="0" w:line="77" w:lineRule="exact"/>
        <w:rPr>
          <w:sz w:val="20"/>
          <w:szCs w:val="20"/>
          <w:color w:val="auto"/>
        </w:rPr>
      </w:pPr>
    </w:p>
    <w:p>
      <w:pPr>
        <w:ind w:left="940" w:right="20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234">
        <w:r>
          <w:rPr>
            <w:rFonts w:ascii="Arial" w:cs="Arial" w:eastAsia="Arial" w:hAnsi="Arial"/>
            <w:sz w:val="18"/>
            <w:szCs w:val="18"/>
            <w:u w:val="single" w:color="auto"/>
            <w:color w:val="0000FF"/>
          </w:rPr>
          <w:t>Amended and Restated 2005 Equity Incentive Plan (incorporated by reference to Exhibit 99.1 to Form S-8 Registration Statement</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filed June 8, 2018)</w:t>
        </w:r>
      </w:hyperlink>
    </w:p>
    <w:p>
      <w:pPr>
        <w:spacing w:after="0" w:line="54" w:lineRule="exact"/>
        <w:rPr>
          <w:sz w:val="20"/>
          <w:szCs w:val="20"/>
          <w:color w:val="auto"/>
        </w:rPr>
      </w:pPr>
    </w:p>
    <w:p>
      <w:pPr>
        <w:ind w:left="940" w:right="320" w:hanging="946"/>
        <w:spacing w:after="0" w:line="22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235">
        <w:r>
          <w:rPr>
            <w:rFonts w:ascii="Arial" w:cs="Arial" w:eastAsia="Arial" w:hAnsi="Arial"/>
            <w:sz w:val="18"/>
            <w:szCs w:val="18"/>
            <w:u w:val="single" w:color="auto"/>
            <w:color w:val="0000FF"/>
          </w:rPr>
          <w:t>Form of Stock Option Grant Notice and Stock Option Agreement for use in connection with awards under the Amended and</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Restated 2005 Equity Incentive Plan (incorporated by reference to Exhibit 99.2 to Form S-8 Registration Statement filed June 8,</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2018)</w:t>
        </w:r>
      </w:hyperlink>
    </w:p>
    <w:p>
      <w:pPr>
        <w:spacing w:after="0" w:line="55" w:lineRule="exact"/>
        <w:rPr>
          <w:rFonts w:ascii="Arial" w:cs="Arial" w:eastAsia="Arial" w:hAnsi="Arial"/>
          <w:sz w:val="18"/>
          <w:szCs w:val="18"/>
          <w:u w:val="single" w:color="auto"/>
          <w:color w:val="0000FF"/>
        </w:rPr>
      </w:pPr>
    </w:p>
    <w:p>
      <w:pPr>
        <w:ind w:left="940" w:right="140" w:hanging="946"/>
        <w:spacing w:after="0" w:line="22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236">
        <w:r>
          <w:rPr>
            <w:rFonts w:ascii="Arial" w:cs="Arial" w:eastAsia="Arial" w:hAnsi="Arial"/>
            <w:sz w:val="18"/>
            <w:szCs w:val="18"/>
            <w:u w:val="single" w:color="auto"/>
            <w:color w:val="0000FF"/>
          </w:rPr>
          <w:t>Form of Restricted Stock Grant Notice and Restricted Stock Agreement for use in connection with awards under the Amended and</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Restated 2005 Equity Incentive Plan (incorporated by reference to Exhibit 99.3 to Form S-8 Registration Statement filed June 8,</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2018)</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2" w:lineRule="exact"/>
        <w:rPr>
          <w:rFonts w:ascii="Arial" w:cs="Arial" w:eastAsia="Arial" w:hAnsi="Arial"/>
          <w:sz w:val="18"/>
          <w:szCs w:val="18"/>
          <w:u w:val="single" w:color="auto"/>
          <w:color w:val="0000FF"/>
        </w:rPr>
      </w:pPr>
    </w:p>
    <w:p>
      <w:pPr>
        <w:jc w:val="center"/>
        <w:ind w:right="400"/>
        <w:spacing w:after="0"/>
        <w:rPr>
          <w:sz w:val="20"/>
          <w:szCs w:val="20"/>
          <w:color w:val="auto"/>
        </w:rPr>
      </w:pPr>
      <w:r>
        <w:rPr>
          <w:rFonts w:ascii="Arial" w:cs="Arial" w:eastAsia="Arial" w:hAnsi="Arial"/>
          <w:sz w:val="18"/>
          <w:szCs w:val="18"/>
          <w:color w:val="auto"/>
        </w:rPr>
        <w:t>136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1070" w:right="499" w:bottom="1440" w:gutter="0" w:footer="0" w:header="0"/>
        </w:sectPr>
      </w:pPr>
    </w:p>
    <w:bookmarkStart w:id="136" w:name="page137"/>
    <w:bookmarkEnd w:id="136"/>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10.45*</w:t>
      </w:r>
      <w:r>
        <w:rPr>
          <w:sz w:val="20"/>
          <w:szCs w:val="20"/>
          <w:color w:val="auto"/>
        </w:rPr>
        <w:tab/>
      </w:r>
      <w:hyperlink r:id="rId238">
        <w:r>
          <w:rPr>
            <w:rFonts w:ascii="Arial" w:cs="Arial" w:eastAsia="Arial" w:hAnsi="Arial"/>
            <w:sz w:val="16"/>
            <w:szCs w:val="16"/>
            <w:u w:val="single" w:color="auto"/>
            <w:color w:val="0000FF"/>
          </w:rPr>
          <w:t>2018 Annual Bonus Plan (incorporated by reference to Exhibit 10.1 to Quarterly Report on Form 10-Q filed August 9, 2018)</w:t>
        </w:r>
      </w:hyperlink>
    </w:p>
    <w:p>
      <w:pPr>
        <w:spacing w:after="0" w:line="77" w:lineRule="exact"/>
        <w:rPr>
          <w:sz w:val="20"/>
          <w:szCs w:val="20"/>
          <w:color w:val="auto"/>
        </w:rPr>
      </w:pPr>
    </w:p>
    <w:p>
      <w:pPr>
        <w:ind w:left="940" w:right="20" w:hanging="901"/>
        <w:spacing w:after="0" w:line="22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239">
        <w:r>
          <w:rPr>
            <w:rFonts w:ascii="Arial" w:cs="Arial" w:eastAsia="Arial" w:hAnsi="Arial"/>
            <w:sz w:val="18"/>
            <w:szCs w:val="18"/>
            <w:u w:val="single" w:color="auto"/>
            <w:color w:val="0000FF"/>
          </w:rPr>
          <w:t>Amendment No. 1 to Royalty Purchase and Sale Agreement and Bill of Sale between PDL Investment Holding, LLC and Depomed,</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Inc. and Depo DR Sub, LLC, dated August 2, 2018 (incorporated by reference to Exhibit 10.2 to Quarterly Report on Form 10-Q</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filed August 9, 2018)</w:t>
        </w:r>
      </w:hyperlink>
    </w:p>
    <w:p>
      <w:pPr>
        <w:spacing w:after="0" w:line="39" w:lineRule="exact"/>
        <w:rPr>
          <w:rFonts w:ascii="Arial" w:cs="Arial" w:eastAsia="Arial" w:hAnsi="Arial"/>
          <w:sz w:val="18"/>
          <w:szCs w:val="18"/>
          <w:u w:val="single" w:color="auto"/>
          <w:color w:val="0000FF"/>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10.47*</w:t>
      </w:r>
      <w:r>
        <w:rPr>
          <w:sz w:val="20"/>
          <w:szCs w:val="20"/>
          <w:color w:val="auto"/>
        </w:rPr>
        <w:tab/>
      </w:r>
      <w:hyperlink r:id="rId240">
        <w:r>
          <w:rPr>
            <w:rFonts w:ascii="Arial" w:cs="Arial" w:eastAsia="Arial" w:hAnsi="Arial"/>
            <w:sz w:val="16"/>
            <w:szCs w:val="16"/>
            <w:u w:val="single" w:color="auto"/>
            <w:color w:val="0000FF"/>
          </w:rPr>
          <w:t>Form of Director and Officer Indemnification Agreement (incorporated by reference to Exhibit 10.2 to Quarterly Report on Form</w:t>
        </w:r>
      </w:hyperlink>
    </w:p>
    <w:p>
      <w:pPr>
        <w:ind w:left="940"/>
        <w:spacing w:after="0"/>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10-Q filed November 7, 2018)</w:t>
        </w:r>
      </w:hyperlink>
    </w:p>
    <w:p>
      <w:pPr>
        <w:spacing w:after="0" w:line="61" w:lineRule="exact"/>
        <w:rPr>
          <w:rFonts w:ascii="Arial" w:cs="Arial" w:eastAsia="Arial" w:hAnsi="Arial"/>
          <w:sz w:val="18"/>
          <w:szCs w:val="18"/>
          <w:u w:val="single" w:color="auto"/>
          <w:color w:val="0000FF"/>
        </w:rPr>
      </w:pPr>
    </w:p>
    <w:p>
      <w:pPr>
        <w:ind w:left="940" w:right="10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ab/>
      </w:r>
      <w:hyperlink r:id="rId241">
        <w:r>
          <w:rPr>
            <w:rFonts w:ascii="Arial" w:cs="Arial" w:eastAsia="Arial" w:hAnsi="Arial"/>
            <w:sz w:val="18"/>
            <w:szCs w:val="18"/>
            <w:u w:val="single" w:color="auto"/>
            <w:color w:val="0000FF"/>
          </w:rPr>
          <w:t>Executive Severance Plan and Schedule of Benefits (incorporated by reference to Exhibit 10.1 to Current Report on Form 8-K filed</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on April 10, 2019)</w:t>
        </w:r>
      </w:hyperlink>
    </w:p>
    <w:p>
      <w:pPr>
        <w:spacing w:after="0" w:line="54" w:lineRule="exact"/>
        <w:rPr>
          <w:sz w:val="20"/>
          <w:szCs w:val="20"/>
          <w:color w:val="auto"/>
        </w:rPr>
      </w:pPr>
    </w:p>
    <w:p>
      <w:pPr>
        <w:ind w:left="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10.49</w:t>
      </w:r>
      <w:r>
        <w:rPr>
          <w:sz w:val="20"/>
          <w:szCs w:val="20"/>
          <w:color w:val="auto"/>
        </w:rPr>
        <w:tab/>
      </w:r>
      <w:hyperlink r:id="rId242">
        <w:r>
          <w:rPr>
            <w:rFonts w:ascii="Arial" w:cs="Arial" w:eastAsia="Arial" w:hAnsi="Arial"/>
            <w:sz w:val="16"/>
            <w:szCs w:val="16"/>
            <w:u w:val="single" w:color="auto"/>
            <w:color w:val="0000FF"/>
          </w:rPr>
          <w:t>Securities Purchase Agreement (incorporated by reference to Exhibit 10.1 to Current Report on Form 8-K filed on April 11, 2019)</w:t>
        </w:r>
      </w:hyperlink>
    </w:p>
    <w:p>
      <w:pPr>
        <w:spacing w:after="0" w:line="320" w:lineRule="exact"/>
        <w:rPr>
          <w:sz w:val="20"/>
          <w:szCs w:val="20"/>
          <w:color w:val="auto"/>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10.50*</w:t>
      </w:r>
      <w:r>
        <w:rPr>
          <w:sz w:val="20"/>
          <w:szCs w:val="20"/>
          <w:color w:val="auto"/>
        </w:rPr>
        <w:tab/>
      </w:r>
      <w:hyperlink r:id="rId243">
        <w:r>
          <w:rPr>
            <w:rFonts w:ascii="Arial" w:cs="Arial" w:eastAsia="Arial" w:hAnsi="Arial"/>
            <w:sz w:val="16"/>
            <w:szCs w:val="16"/>
            <w:u w:val="single" w:color="auto"/>
            <w:color w:val="0000FF"/>
          </w:rPr>
          <w:t>2019 Annual Bonus Plan (incorporated by reference to Exhibit 10.3 to Quarterly Report on Form 10-Q filed May 9, 2019)</w:t>
        </w:r>
      </w:hyperlink>
    </w:p>
    <w:p>
      <w:pPr>
        <w:spacing w:after="0" w:line="61" w:lineRule="exact"/>
        <w:rPr>
          <w:sz w:val="20"/>
          <w:szCs w:val="20"/>
          <w:color w:val="auto"/>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10.51*</w:t>
      </w:r>
      <w:r>
        <w:rPr>
          <w:sz w:val="20"/>
          <w:szCs w:val="20"/>
          <w:color w:val="auto"/>
        </w:rPr>
        <w:tab/>
      </w:r>
      <w:hyperlink r:id="rId244">
        <w:r>
          <w:rPr>
            <w:rFonts w:ascii="Arial" w:cs="Arial" w:eastAsia="Arial" w:hAnsi="Arial"/>
            <w:sz w:val="16"/>
            <w:szCs w:val="16"/>
            <w:u w:val="single" w:color="auto"/>
            <w:color w:val="0000FF"/>
          </w:rPr>
          <w:t>Offer Letter between the Company and Edward A. Imbrogno (incorporated by reference to Exhibit 10.1 to Current Report on Form</w:t>
        </w:r>
      </w:hyperlink>
    </w:p>
    <w:p>
      <w:pPr>
        <w:ind w:left="940"/>
        <w:spacing w:after="0"/>
        <w:rPr>
          <w:rFonts w:ascii="Arial" w:cs="Arial" w:eastAsia="Arial" w:hAnsi="Arial"/>
          <w:sz w:val="18"/>
          <w:szCs w:val="18"/>
          <w:u w:val="single" w:color="auto"/>
          <w:color w:val="0000FF"/>
        </w:rPr>
      </w:pPr>
      <w:hyperlink r:id="rId244">
        <w:r>
          <w:rPr>
            <w:rFonts w:ascii="Arial" w:cs="Arial" w:eastAsia="Arial" w:hAnsi="Arial"/>
            <w:sz w:val="18"/>
            <w:szCs w:val="18"/>
            <w:u w:val="single" w:color="auto"/>
            <w:color w:val="0000FF"/>
          </w:rPr>
          <w:t>8-K filed on June 24, 2019)</w:t>
        </w:r>
      </w:hyperlink>
    </w:p>
    <w:p>
      <w:pPr>
        <w:spacing w:after="0" w:line="61" w:lineRule="exact"/>
        <w:rPr>
          <w:sz w:val="20"/>
          <w:szCs w:val="20"/>
          <w:color w:val="auto"/>
        </w:rPr>
      </w:pPr>
    </w:p>
    <w:p>
      <w:pPr>
        <w:ind w:left="940" w:right="40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245">
        <w:r>
          <w:rPr>
            <w:rFonts w:ascii="Arial" w:cs="Arial" w:eastAsia="Arial" w:hAnsi="Arial"/>
            <w:sz w:val="18"/>
            <w:szCs w:val="18"/>
            <w:u w:val="single" w:color="auto"/>
            <w:color w:val="0000FF"/>
          </w:rPr>
          <w:t>Noden Settlement Letter and Supply Agreement Amendment (incorporated by reference to Exhibit 10.4 to Quarterly Report on</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Form 10-Q filed August 7, 2019)</w:t>
        </w:r>
      </w:hyperlink>
    </w:p>
    <w:p>
      <w:pPr>
        <w:spacing w:after="0" w:line="38" w:lineRule="exact"/>
        <w:rPr>
          <w:sz w:val="20"/>
          <w:szCs w:val="20"/>
          <w:color w:val="auto"/>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10.53*</w:t>
      </w:r>
      <w:r>
        <w:rPr>
          <w:sz w:val="20"/>
          <w:szCs w:val="20"/>
          <w:color w:val="auto"/>
        </w:rPr>
        <w:tab/>
      </w:r>
      <w:hyperlink r:id="rId246">
        <w:r>
          <w:rPr>
            <w:rFonts w:ascii="Arial" w:cs="Arial" w:eastAsia="Arial" w:hAnsi="Arial"/>
            <w:sz w:val="16"/>
            <w:szCs w:val="16"/>
            <w:u w:val="single" w:color="auto"/>
            <w:color w:val="0000FF"/>
          </w:rPr>
          <w:t>Confidential Severance Agreement and Release of All Claims (incorporated by reference to Exhibit 10.1 to Current Report on Form</w:t>
        </w:r>
      </w:hyperlink>
    </w:p>
    <w:p>
      <w:pPr>
        <w:ind w:left="940"/>
        <w:spacing w:after="0"/>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8-K filed August 19, 2019)</w:t>
        </w:r>
      </w:hyperlink>
    </w:p>
    <w:p>
      <w:pPr>
        <w:spacing w:after="0" w:line="61" w:lineRule="exact"/>
        <w:rPr>
          <w:sz w:val="20"/>
          <w:szCs w:val="20"/>
          <w:color w:val="auto"/>
        </w:rPr>
      </w:pPr>
    </w:p>
    <w:p>
      <w:pPr>
        <w:ind w:left="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10.54</w:t>
      </w:r>
      <w:r>
        <w:rPr>
          <w:sz w:val="20"/>
          <w:szCs w:val="20"/>
          <w:color w:val="auto"/>
        </w:rPr>
        <w:tab/>
      </w:r>
      <w:hyperlink r:id="rId247">
        <w:r>
          <w:rPr>
            <w:rFonts w:ascii="Arial" w:cs="Arial" w:eastAsia="Arial" w:hAnsi="Arial"/>
            <w:sz w:val="16"/>
            <w:szCs w:val="16"/>
            <w:u w:val="single" w:color="auto"/>
            <w:color w:val="0000FF"/>
          </w:rPr>
          <w:t>Form of Exchange Agreement (incorporated by reference to Exhibit 10.1 to Current Report on Form 8-K filed September 13, 2019)</w:t>
        </w:r>
      </w:hyperlink>
    </w:p>
    <w:p>
      <w:pPr>
        <w:spacing w:after="0" w:line="61" w:lineRule="exact"/>
        <w:rPr>
          <w:sz w:val="20"/>
          <w:szCs w:val="20"/>
          <w:color w:val="auto"/>
        </w:rPr>
      </w:pPr>
    </w:p>
    <w:p>
      <w:pPr>
        <w:ind w:left="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10.55</w:t>
      </w:r>
      <w:r>
        <w:rPr>
          <w:sz w:val="20"/>
          <w:szCs w:val="20"/>
          <w:color w:val="auto"/>
        </w:rPr>
        <w:tab/>
      </w:r>
      <w:hyperlink r:id="rId248">
        <w:r>
          <w:rPr>
            <w:rFonts w:ascii="Arial" w:cs="Arial" w:eastAsia="Arial" w:hAnsi="Arial"/>
            <w:sz w:val="16"/>
            <w:szCs w:val="16"/>
            <w:u w:val="single" w:color="auto"/>
            <w:color w:val="0000FF"/>
          </w:rPr>
          <w:t>Fifth Amendment to Lease Agreement between Mountain Bluebird Investments, LLC and the Company, effective November 11,</w:t>
        </w:r>
      </w:hyperlink>
    </w:p>
    <w:p>
      <w:pPr>
        <w:ind w:left="940"/>
        <w:spacing w:after="0"/>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2019 (incorporated by reference to Exhibit 10.66 to Annual Report on Form 10-K filed March 11, 2020)</w:t>
        </w:r>
      </w:hyperlink>
    </w:p>
    <w:p>
      <w:pPr>
        <w:spacing w:after="0" w:line="61" w:lineRule="exact"/>
        <w:rPr>
          <w:sz w:val="20"/>
          <w:szCs w:val="20"/>
          <w:color w:val="auto"/>
        </w:rPr>
      </w:pPr>
    </w:p>
    <w:p>
      <w:pPr>
        <w:ind w:left="940" w:right="60" w:hanging="946"/>
        <w:spacing w:after="0" w:line="261"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249">
        <w:r>
          <w:rPr>
            <w:rFonts w:ascii="Arial" w:cs="Arial" w:eastAsia="Arial" w:hAnsi="Arial"/>
            <w:sz w:val="18"/>
            <w:szCs w:val="18"/>
            <w:u w:val="single" w:color="auto"/>
            <w:color w:val="0000FF"/>
          </w:rPr>
          <w:t>Severance Plan adopted as of November 15, 2019 (incorporated by reference to Exhibit 10.67 to Annual Report on Form 10-K filed</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March 11, 2020)</w:t>
        </w:r>
      </w:hyperlink>
    </w:p>
    <w:p>
      <w:pPr>
        <w:spacing w:after="0" w:line="47" w:lineRule="exact"/>
        <w:rPr>
          <w:sz w:val="20"/>
          <w:szCs w:val="20"/>
          <w:color w:val="auto"/>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10.57*</w:t>
      </w:r>
      <w:r>
        <w:rPr>
          <w:sz w:val="20"/>
          <w:szCs w:val="20"/>
          <w:color w:val="auto"/>
        </w:rPr>
        <w:tab/>
      </w:r>
      <w:hyperlink r:id="rId250">
        <w:r>
          <w:rPr>
            <w:rFonts w:ascii="Arial" w:cs="Arial" w:eastAsia="Arial" w:hAnsi="Arial"/>
            <w:sz w:val="16"/>
            <w:szCs w:val="16"/>
            <w:u w:val="single" w:color="auto"/>
            <w:color w:val="0000FF"/>
          </w:rPr>
          <w:t>Form of Restricted Stock Agreement (Amended 11/15/19) (incorporated by reference to Exhibit 10.68 to Annual Report on Form</w:t>
        </w:r>
      </w:hyperlink>
    </w:p>
    <w:p>
      <w:pPr>
        <w:ind w:left="940"/>
        <w:spacing w:after="0"/>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10-K filed March 11, 2020)</w:t>
        </w:r>
      </w:hyperlink>
    </w:p>
    <w:p>
      <w:pPr>
        <w:spacing w:after="0" w:line="61" w:lineRule="exact"/>
        <w:rPr>
          <w:sz w:val="20"/>
          <w:szCs w:val="20"/>
          <w:color w:val="auto"/>
        </w:rPr>
      </w:pPr>
    </w:p>
    <w:p>
      <w:pPr>
        <w:ind w:left="940" w:right="18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251">
        <w:r>
          <w:rPr>
            <w:rFonts w:ascii="Arial" w:cs="Arial" w:eastAsia="Arial" w:hAnsi="Arial"/>
            <w:sz w:val="18"/>
            <w:szCs w:val="18"/>
            <w:u w:val="single" w:color="auto"/>
            <w:color w:val="0000FF"/>
          </w:rPr>
          <w:t>Form of Restricted Stock Agreement Amendment Acknowledgment (incorporated by reference to Exhibit 10.69 to Annual Report</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on Form 10-K filed March 11, 2020)</w:t>
        </w:r>
      </w:hyperlink>
    </w:p>
    <w:p>
      <w:pPr>
        <w:spacing w:after="0" w:line="54" w:lineRule="exact"/>
        <w:rPr>
          <w:sz w:val="20"/>
          <w:szCs w:val="20"/>
          <w:color w:val="auto"/>
        </w:rPr>
      </w:pPr>
    </w:p>
    <w:p>
      <w:pPr>
        <w:ind w:left="940" w:right="6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10.59*</w:t>
      </w:r>
      <w:r>
        <w:rPr>
          <w:sz w:val="20"/>
          <w:szCs w:val="20"/>
          <w:color w:val="auto"/>
        </w:rPr>
        <w:tab/>
      </w:r>
      <w:hyperlink r:id="rId252">
        <w:r>
          <w:rPr>
            <w:rFonts w:ascii="Arial" w:cs="Arial" w:eastAsia="Arial" w:hAnsi="Arial"/>
            <w:sz w:val="18"/>
            <w:szCs w:val="18"/>
            <w:u w:val="single" w:color="auto"/>
            <w:color w:val="0000FF"/>
          </w:rPr>
          <w:t>Form of Stock Option Agreement (Amended 11/15/19) (incorporated by reference to Exhibit 10.70 to Annual Report on Form 10-K</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filed March 11, 2020)</w:t>
        </w:r>
      </w:hyperlink>
    </w:p>
    <w:p>
      <w:pPr>
        <w:spacing w:after="0" w:line="54" w:lineRule="exact"/>
        <w:rPr>
          <w:sz w:val="20"/>
          <w:szCs w:val="20"/>
          <w:color w:val="auto"/>
        </w:rPr>
      </w:pPr>
    </w:p>
    <w:p>
      <w:pPr>
        <w:ind w:left="940" w:right="18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10.60*</w:t>
      </w:r>
      <w:r>
        <w:rPr>
          <w:sz w:val="20"/>
          <w:szCs w:val="20"/>
          <w:color w:val="auto"/>
        </w:rPr>
        <w:tab/>
      </w:r>
      <w:hyperlink r:id="rId253">
        <w:r>
          <w:rPr>
            <w:rFonts w:ascii="Arial" w:cs="Arial" w:eastAsia="Arial" w:hAnsi="Arial"/>
            <w:sz w:val="18"/>
            <w:szCs w:val="18"/>
            <w:u w:val="single" w:color="auto"/>
            <w:color w:val="0000FF"/>
          </w:rPr>
          <w:t>Form of Stock Option Agreement Amendment Acknowledgment (incorporated by reference to Exhibit 10.71 to Annual Report on</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Form 10-K filed March 11, 2020)</w:t>
        </w:r>
      </w:hyperlink>
    </w:p>
    <w:p>
      <w:pPr>
        <w:spacing w:after="0" w:line="54" w:lineRule="exact"/>
        <w:rPr>
          <w:sz w:val="20"/>
          <w:szCs w:val="20"/>
          <w:color w:val="auto"/>
        </w:rPr>
      </w:pPr>
    </w:p>
    <w:p>
      <w:pPr>
        <w:ind w:left="940" w:right="18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254">
        <w:r>
          <w:rPr>
            <w:rFonts w:ascii="Arial" w:cs="Arial" w:eastAsia="Arial" w:hAnsi="Arial"/>
            <w:sz w:val="18"/>
            <w:szCs w:val="18"/>
            <w:u w:val="single" w:color="auto"/>
            <w:color w:val="0000FF"/>
          </w:rPr>
          <w:t>Form of Stock Option Grant Notice Supplement (incorporated by reference to Exhibit 10.72 to Annual Report on Form 10-K filed</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March 11, 2020)</w:t>
        </w:r>
      </w:hyperlink>
    </w:p>
    <w:p>
      <w:pPr>
        <w:spacing w:after="0" w:line="54" w:lineRule="exact"/>
        <w:rPr>
          <w:sz w:val="20"/>
          <w:szCs w:val="20"/>
          <w:color w:val="auto"/>
        </w:rPr>
      </w:pPr>
    </w:p>
    <w:p>
      <w:pPr>
        <w:ind w:left="940" w:right="360" w:hanging="946"/>
        <w:spacing w:after="0" w:line="261"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10.62*</w:t>
      </w:r>
      <w:r>
        <w:rPr>
          <w:sz w:val="20"/>
          <w:szCs w:val="20"/>
          <w:color w:val="auto"/>
        </w:rPr>
        <w:tab/>
      </w:r>
      <w:hyperlink r:id="rId255">
        <w:r>
          <w:rPr>
            <w:rFonts w:ascii="Arial" w:cs="Arial" w:eastAsia="Arial" w:hAnsi="Arial"/>
            <w:sz w:val="18"/>
            <w:szCs w:val="18"/>
            <w:u w:val="single" w:color="auto"/>
            <w:color w:val="0000FF"/>
          </w:rPr>
          <w:t>Form of Nonstatutory Inducement Stock Option Agreement (Amended 11/15/19) (incorporated by reference to Exhibit 10.73 to</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Annual Report on Form 10-K filed March 11, 2020)</w:t>
        </w:r>
      </w:hyperlink>
    </w:p>
    <w:p>
      <w:pPr>
        <w:spacing w:after="0" w:line="63" w:lineRule="exact"/>
        <w:rPr>
          <w:sz w:val="20"/>
          <w:szCs w:val="20"/>
          <w:color w:val="auto"/>
        </w:rPr>
      </w:pPr>
    </w:p>
    <w:p>
      <w:pPr>
        <w:ind w:left="940" w:right="28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256">
        <w:r>
          <w:rPr>
            <w:rFonts w:ascii="Arial" w:cs="Arial" w:eastAsia="Arial" w:hAnsi="Arial"/>
            <w:sz w:val="18"/>
            <w:szCs w:val="18"/>
            <w:u w:val="single" w:color="auto"/>
            <w:color w:val="0000FF"/>
          </w:rPr>
          <w:t>Form of Nonstatutory Inducement Stock Option Grant Notice Supplement (incorporated by reference to Exhibit 10.74 to Annual</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Report on Form 10-K filed March 11, 2020)</w:t>
        </w:r>
      </w:hyperlink>
    </w:p>
    <w:p>
      <w:pPr>
        <w:spacing w:after="0" w:line="54" w:lineRule="exact"/>
        <w:rPr>
          <w:sz w:val="20"/>
          <w:szCs w:val="20"/>
          <w:color w:val="auto"/>
        </w:rPr>
      </w:pPr>
    </w:p>
    <w:p>
      <w:pPr>
        <w:ind w:left="940" w:hanging="946"/>
        <w:spacing w:after="0" w:line="261"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10.64*</w:t>
      </w:r>
      <w:r>
        <w:rPr>
          <w:sz w:val="20"/>
          <w:szCs w:val="20"/>
          <w:color w:val="auto"/>
        </w:rPr>
        <w:tab/>
      </w:r>
      <w:hyperlink r:id="rId257">
        <w:r>
          <w:rPr>
            <w:rFonts w:ascii="Arial" w:cs="Arial" w:eastAsia="Arial" w:hAnsi="Arial"/>
            <w:sz w:val="18"/>
            <w:szCs w:val="18"/>
            <w:u w:val="single" w:color="auto"/>
            <w:color w:val="0000FF"/>
          </w:rPr>
          <w:t>Form of Inducement Restricted Stock Agreement (Amended 11/15/19) (incorporated by reference to Exhibit 10.75 to Annual Report</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on Form 10-K filed March 11, 2020)</w:t>
        </w:r>
      </w:hyperlink>
    </w:p>
    <w:p>
      <w:pPr>
        <w:spacing w:after="0" w:line="63" w:lineRule="exact"/>
        <w:rPr>
          <w:sz w:val="20"/>
          <w:szCs w:val="20"/>
          <w:color w:val="auto"/>
        </w:rPr>
      </w:pPr>
    </w:p>
    <w:p>
      <w:pPr>
        <w:ind w:left="940" w:right="360" w:hanging="946"/>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10.65*</w:t>
      </w:r>
      <w:r>
        <w:rPr>
          <w:sz w:val="20"/>
          <w:szCs w:val="20"/>
          <w:color w:val="auto"/>
        </w:rPr>
        <w:tab/>
      </w:r>
      <w:hyperlink r:id="rId258">
        <w:r>
          <w:rPr>
            <w:rFonts w:ascii="Arial" w:cs="Arial" w:eastAsia="Arial" w:hAnsi="Arial"/>
            <w:sz w:val="18"/>
            <w:szCs w:val="18"/>
            <w:u w:val="single" w:color="auto"/>
            <w:color w:val="0000FF"/>
          </w:rPr>
          <w:t>Wind Down Retention Plan effective as of December 21, 2019 (incorporated by reference to Exhibit 10.76 to Annual Report on</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Form 10-K filed March 11, 2020)</w:t>
        </w:r>
      </w:hyperlink>
    </w:p>
    <w:p>
      <w:pPr>
        <w:spacing w:after="0" w:line="54" w:lineRule="exact"/>
        <w:rPr>
          <w:sz w:val="20"/>
          <w:szCs w:val="20"/>
          <w:color w:val="auto"/>
        </w:rPr>
      </w:pPr>
    </w:p>
    <w:p>
      <w:pPr>
        <w:ind w:left="940" w:right="120" w:hanging="901"/>
        <w:spacing w:after="0" w:line="25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10.66</w:t>
      </w:r>
      <w:r>
        <w:rPr>
          <w:sz w:val="20"/>
          <w:szCs w:val="20"/>
          <w:color w:val="auto"/>
        </w:rPr>
        <w:tab/>
      </w:r>
      <w:hyperlink r:id="rId259">
        <w:r>
          <w:rPr>
            <w:rFonts w:ascii="Arial" w:cs="Arial" w:eastAsia="Arial" w:hAnsi="Arial"/>
            <w:sz w:val="17"/>
            <w:szCs w:val="17"/>
            <w:u w:val="single" w:color="auto"/>
            <w:color w:val="0000FF"/>
          </w:rPr>
          <w:t>Cooperation and Support Agreement, dated as of February 27, 2020, by and among PDL BioPharma, Inc., Engine Capital, L.P. and</w:t>
        </w:r>
      </w:hyperlink>
      <w:r>
        <w:rPr>
          <w:rFonts w:ascii="Arial" w:cs="Arial" w:eastAsia="Arial" w:hAnsi="Arial"/>
          <w:sz w:val="17"/>
          <w:szCs w:val="17"/>
          <w:u w:val="single" w:color="auto"/>
          <w:color w:val="0000FF"/>
        </w:rPr>
        <w:t xml:space="preserve"> </w:t>
      </w:r>
      <w:hyperlink r:id="rId259">
        <w:r>
          <w:rPr>
            <w:rFonts w:ascii="Arial" w:cs="Arial" w:eastAsia="Arial" w:hAnsi="Arial"/>
            <w:sz w:val="17"/>
            <w:szCs w:val="17"/>
            <w:u w:val="single" w:color="auto"/>
            <w:color w:val="0000FF"/>
          </w:rPr>
          <w:t>its affiliates (incorporated by reference to Exhibit 10.1 to Current Report on Form 8-K filed February 28, 2020)</w:t>
        </w:r>
      </w:hyperlink>
    </w:p>
    <w:p>
      <w:pPr>
        <w:spacing w:after="0" w:line="39" w:lineRule="exact"/>
        <w:rPr>
          <w:sz w:val="20"/>
          <w:szCs w:val="20"/>
          <w:color w:val="auto"/>
        </w:rPr>
      </w:pPr>
    </w:p>
    <w:p>
      <w:pPr>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10.67*</w:t>
      </w:r>
      <w:r>
        <w:rPr>
          <w:sz w:val="20"/>
          <w:szCs w:val="20"/>
          <w:color w:val="auto"/>
        </w:rPr>
        <w:tab/>
      </w:r>
      <w:hyperlink r:id="rId260">
        <w:r>
          <w:rPr>
            <w:rFonts w:ascii="Arial" w:cs="Arial" w:eastAsia="Arial" w:hAnsi="Arial"/>
            <w:sz w:val="16"/>
            <w:szCs w:val="16"/>
            <w:u w:val="single" w:color="auto"/>
            <w:color w:val="0000FF"/>
          </w:rPr>
          <w:t>2020 Annual Bonus Plan (incorporated by reference to Exhibit 10.2 to Quarterly Report on Form 10-Q filed May 11, 2020)</w:t>
        </w:r>
      </w:hyperlink>
    </w:p>
    <w:p>
      <w:pPr>
        <w:spacing w:after="0" w:line="77" w:lineRule="exact"/>
        <w:rPr>
          <w:sz w:val="20"/>
          <w:szCs w:val="20"/>
          <w:color w:val="auto"/>
        </w:rPr>
      </w:pPr>
    </w:p>
    <w:p>
      <w:pPr>
        <w:ind w:left="940" w:right="360" w:hanging="901"/>
        <w:spacing w:after="0" w:line="235"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10.68</w:t>
      </w:r>
      <w:r>
        <w:rPr>
          <w:sz w:val="20"/>
          <w:szCs w:val="20"/>
          <w:color w:val="auto"/>
        </w:rPr>
        <w:tab/>
      </w:r>
      <w:hyperlink r:id="rId261">
        <w:r>
          <w:rPr>
            <w:rFonts w:ascii="Arial" w:cs="Arial" w:eastAsia="Arial" w:hAnsi="Arial"/>
            <w:sz w:val="18"/>
            <w:szCs w:val="18"/>
            <w:u w:val="single" w:color="auto"/>
            <w:color w:val="0000FF"/>
          </w:rPr>
          <w:t>Share Purchase Agreement between Bartleby Limited and the Company, dated as of July 30, 2020 (incorporated by reference to</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Exhibit 10.1 to Quarterly Report on Form 10-Q filed August 7, 2020)</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1165" w:right="499" w:bottom="1440" w:gutter="0" w:footer="0" w:header="0"/>
        </w:sectPr>
      </w:pPr>
    </w:p>
    <w:bookmarkStart w:id="137" w:name="page138"/>
    <w:bookmarkEnd w:id="137"/>
    <w:tbl>
      <w:tblPr>
        <w:tblLayout w:type="fixed"/>
        <w:tblInd w:w="480" w:type="dxa"/>
        <w:tblCellMar>
          <w:top w:w="0" w:type="dxa"/>
          <w:left w:w="0" w:type="dxa"/>
          <w:bottom w:w="0" w:type="dxa"/>
          <w:right w:w="0" w:type="dxa"/>
        </w:tblCellMar>
      </w:tblPr>
      <w:tr>
        <w:trPr>
          <w:trHeight w:val="207"/>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10.69</w:t>
            </w:r>
          </w:p>
        </w:tc>
        <w:tc>
          <w:tcPr>
            <w:tcW w:w="9580" w:type="dxa"/>
            <w:vAlign w:val="bottom"/>
            <w:gridSpan w:val="25"/>
          </w:tcPr>
          <w:p>
            <w:pPr>
              <w:spacing w:after="0"/>
              <w:rPr>
                <w:rFonts w:ascii="Arial" w:cs="Arial" w:eastAsia="Arial" w:hAnsi="Arial"/>
                <w:sz w:val="18"/>
                <w:szCs w:val="18"/>
                <w:color w:val="0000FF"/>
                <w:w w:val="90"/>
              </w:rPr>
            </w:pPr>
            <w:hyperlink r:id="rId263">
              <w:r>
                <w:rPr>
                  <w:rFonts w:ascii="Arial" w:cs="Arial" w:eastAsia="Arial" w:hAnsi="Arial"/>
                  <w:sz w:val="18"/>
                  <w:szCs w:val="18"/>
                  <w:color w:val="0000FF"/>
                  <w:w w:val="90"/>
                </w:rPr>
                <w:t>Settlement and Mutual Release Agreement among the Company, Samuel J. Wohlstadter, Nadine H. Wohlstadter, Hyperion Catalysis</w:t>
              </w:r>
            </w:hyperlink>
          </w:p>
        </w:tc>
      </w:tr>
      <w:tr>
        <w:trPr>
          <w:trHeight w:val="156"/>
        </w:trPr>
        <w:tc>
          <w:tcPr>
            <w:tcW w:w="1040" w:type="dxa"/>
            <w:vAlign w:val="bottom"/>
          </w:tcPr>
          <w:p>
            <w:pPr>
              <w:spacing w:after="0"/>
              <w:rPr>
                <w:sz w:val="13"/>
                <w:szCs w:val="13"/>
                <w:color w:val="auto"/>
              </w:rPr>
            </w:pPr>
          </w:p>
        </w:tc>
        <w:tc>
          <w:tcPr>
            <w:tcW w:w="952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263">
              <w:r>
                <w:rPr>
                  <w:rFonts w:ascii="Arial" w:cs="Arial" w:eastAsia="Arial" w:hAnsi="Arial"/>
                  <w:sz w:val="18"/>
                  <w:szCs w:val="18"/>
                  <w:color w:val="0000FF"/>
                  <w:w w:val="92"/>
                </w:rPr>
                <w:t>International, Wellstat Vaccines, LLC, Wellstat Immuno Therapeutics, LLC, Wellstat BioCatalysis, LLC, Wellstat AVT Investment,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263">
              <w:r>
                <w:rPr>
                  <w:rFonts w:ascii="Arial" w:cs="Arial" w:eastAsia="Arial" w:hAnsi="Arial"/>
                  <w:sz w:val="18"/>
                  <w:szCs w:val="18"/>
                  <w:color w:val="0000FF"/>
                  <w:w w:val="92"/>
                </w:rPr>
                <w:t>LLC, Wellstat Biologics Corporation, Wellstat Management Company, LLC, Wellstat Ophthalmics Corporation, Wellstat</w:t>
              </w:r>
            </w:hyperlink>
          </w:p>
        </w:tc>
        <w:tc>
          <w:tcPr>
            <w:tcW w:w="7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9580" w:type="dxa"/>
            <w:vAlign w:val="bottom"/>
            <w:gridSpan w:val="25"/>
          </w:tcPr>
          <w:p>
            <w:pPr>
              <w:spacing w:after="0" w:line="156" w:lineRule="exact"/>
              <w:rPr>
                <w:rFonts w:ascii="Arial" w:cs="Arial" w:eastAsia="Arial" w:hAnsi="Arial"/>
                <w:sz w:val="18"/>
                <w:szCs w:val="18"/>
                <w:color w:val="0000FF"/>
                <w:w w:val="95"/>
              </w:rPr>
            </w:pPr>
            <w:hyperlink r:id="rId263">
              <w:r>
                <w:rPr>
                  <w:rFonts w:ascii="Arial" w:cs="Arial" w:eastAsia="Arial" w:hAnsi="Arial"/>
                  <w:sz w:val="18"/>
                  <w:szCs w:val="18"/>
                  <w:color w:val="0000FF"/>
                  <w:w w:val="95"/>
                </w:rPr>
                <w:t>Therapeutics Corporation, Wellstat Therapeutics EU Limited, Duck Farm, Inc., Hebron Valley Farms, Inc., HVF, Inc., Hyperion</w:t>
              </w:r>
            </w:hyperlink>
          </w:p>
        </w:tc>
      </w:tr>
      <w:tr>
        <w:trPr>
          <w:trHeight w:val="155"/>
        </w:trPr>
        <w:tc>
          <w:tcPr>
            <w:tcW w:w="1040" w:type="dxa"/>
            <w:vAlign w:val="bottom"/>
          </w:tcPr>
          <w:p>
            <w:pPr>
              <w:spacing w:after="0"/>
              <w:rPr>
                <w:sz w:val="13"/>
                <w:szCs w:val="13"/>
                <w:color w:val="auto"/>
              </w:rPr>
            </w:pPr>
          </w:p>
        </w:tc>
        <w:tc>
          <w:tcPr>
            <w:tcW w:w="922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263">
              <w:r>
                <w:rPr>
                  <w:rFonts w:ascii="Arial" w:cs="Arial" w:eastAsia="Arial" w:hAnsi="Arial"/>
                  <w:sz w:val="18"/>
                  <w:szCs w:val="18"/>
                  <w:color w:val="0000FF"/>
                  <w:w w:val="93"/>
                </w:rPr>
                <w:t>Catalysis EU Limited, NHW, LLC, and SJW Properties, Inc., and Defined Diagnostics, LLC (f/k/a Wellstat Diagnostics, LLC,</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910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263">
              <w:r>
                <w:rPr>
                  <w:rFonts w:ascii="Arial" w:cs="Arial" w:eastAsia="Arial" w:hAnsi="Arial"/>
                  <w:sz w:val="18"/>
                  <w:szCs w:val="18"/>
                  <w:color w:val="0000FF"/>
                  <w:w w:val="92"/>
                </w:rPr>
                <w:t>effective as of August 11, 2020 (incorporated by reference to Exhibit 10.1 to Quarterly Report on Form 10-Q filed November</w:t>
              </w:r>
            </w:hyperlink>
          </w:p>
        </w:tc>
        <w:tc>
          <w:tcPr>
            <w:tcW w:w="280" w:type="dxa"/>
            <w:vAlign w:val="bottom"/>
            <w:gridSpan w:val="4"/>
          </w:tcPr>
          <w:p>
            <w:pPr>
              <w:jc w:val="right"/>
              <w:ind w:right="80"/>
              <w:spacing w:after="0" w:line="156" w:lineRule="exact"/>
              <w:rPr>
                <w:rFonts w:ascii="Arial" w:cs="Arial" w:eastAsia="Arial" w:hAnsi="Arial"/>
                <w:sz w:val="18"/>
                <w:szCs w:val="18"/>
                <w:color w:val="0000FF"/>
                <w:w w:val="71"/>
              </w:rPr>
            </w:pPr>
            <w:hyperlink r:id="rId263">
              <w:r>
                <w:rPr>
                  <w:rFonts w:ascii="Arial" w:cs="Arial" w:eastAsia="Arial" w:hAnsi="Arial"/>
                  <w:sz w:val="18"/>
                  <w:szCs w:val="18"/>
                  <w:color w:val="0000FF"/>
                  <w:w w:val="71"/>
                </w:rPr>
                <w:t>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6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63">
              <w:r>
                <w:rPr>
                  <w:rFonts w:ascii="Arial" w:cs="Arial" w:eastAsia="Arial" w:hAnsi="Arial"/>
                  <w:sz w:val="18"/>
                  <w:szCs w:val="18"/>
                  <w:color w:val="0000FF"/>
                </w:rPr>
                <w:t>2020)</w:t>
              </w:r>
            </w:hyperlink>
          </w:p>
        </w:tc>
        <w:tc>
          <w:tcPr>
            <w:tcW w:w="14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10.70</w:t>
            </w:r>
          </w:p>
        </w:tc>
        <w:tc>
          <w:tcPr>
            <w:tcW w:w="9580" w:type="dxa"/>
            <w:vAlign w:val="bottom"/>
            <w:gridSpan w:val="25"/>
          </w:tcPr>
          <w:p>
            <w:pPr>
              <w:spacing w:after="0"/>
              <w:rPr>
                <w:rFonts w:ascii="Arial" w:cs="Arial" w:eastAsia="Arial" w:hAnsi="Arial"/>
                <w:sz w:val="18"/>
                <w:szCs w:val="18"/>
                <w:color w:val="0000FF"/>
                <w:w w:val="93"/>
              </w:rPr>
            </w:pPr>
            <w:hyperlink r:id="rId264">
              <w:r>
                <w:rPr>
                  <w:rFonts w:ascii="Arial" w:cs="Arial" w:eastAsia="Arial" w:hAnsi="Arial"/>
                  <w:sz w:val="18"/>
                  <w:szCs w:val="18"/>
                  <w:color w:val="0000FF"/>
                  <w:w w:val="93"/>
                </w:rPr>
                <w:t>Asset Transfer Agreement dated as of August 11, 2020 between Defined Diagnostics, LLC (F/K/A Wellstat Diagnostics LLC) and</w:t>
              </w:r>
            </w:hyperlink>
          </w:p>
        </w:tc>
      </w:tr>
      <w:tr>
        <w:trPr>
          <w:trHeight w:val="155"/>
        </w:trPr>
        <w:tc>
          <w:tcPr>
            <w:tcW w:w="104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64">
              <w:r>
                <w:rPr>
                  <w:rFonts w:ascii="Arial" w:cs="Arial" w:eastAsia="Arial" w:hAnsi="Arial"/>
                  <w:sz w:val="18"/>
                  <w:szCs w:val="18"/>
                  <w:color w:val="0000FF"/>
                </w:rPr>
                <w:t>the Company (incorporated by reference to Exhibit 10.2 to Quarterly Report on Form 10-Q filed November 13,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40" w:type="dxa"/>
            <w:vAlign w:val="bottom"/>
          </w:tcPr>
          <w:p>
            <w:pPr>
              <w:jc w:val="center"/>
              <w:ind w:right="250"/>
              <w:spacing w:after="0"/>
              <w:rPr>
                <w:sz w:val="20"/>
                <w:szCs w:val="20"/>
                <w:color w:val="auto"/>
              </w:rPr>
            </w:pPr>
            <w:r>
              <w:rPr>
                <w:rFonts w:ascii="Arial" w:cs="Arial" w:eastAsia="Arial" w:hAnsi="Arial"/>
                <w:sz w:val="18"/>
                <w:szCs w:val="18"/>
                <w:color w:val="auto"/>
                <w:w w:val="95"/>
              </w:rPr>
              <w:t>10.71*</w:t>
            </w:r>
          </w:p>
        </w:tc>
        <w:tc>
          <w:tcPr>
            <w:tcW w:w="9580" w:type="dxa"/>
            <w:vAlign w:val="bottom"/>
            <w:gridSpan w:val="25"/>
          </w:tcPr>
          <w:p>
            <w:pPr>
              <w:spacing w:after="0"/>
              <w:rPr>
                <w:rFonts w:ascii="Arial" w:cs="Arial" w:eastAsia="Arial" w:hAnsi="Arial"/>
                <w:sz w:val="18"/>
                <w:szCs w:val="18"/>
                <w:color w:val="0000FF"/>
                <w:w w:val="92"/>
              </w:rPr>
            </w:pPr>
            <w:hyperlink r:id="rId265">
              <w:r>
                <w:rPr>
                  <w:rFonts w:ascii="Arial" w:cs="Arial" w:eastAsia="Arial" w:hAnsi="Arial"/>
                  <w:sz w:val="18"/>
                  <w:szCs w:val="18"/>
                  <w:color w:val="0000FF"/>
                  <w:w w:val="92"/>
                </w:rPr>
                <w:t>Confidential Severance Agreement and Release of All Claims between Jill Jene and the Company, effective as of August 15, 2020</w:t>
              </w:r>
            </w:hyperlink>
          </w:p>
        </w:tc>
      </w:tr>
      <w:tr>
        <w:trPr>
          <w:trHeight w:val="156"/>
        </w:trPr>
        <w:tc>
          <w:tcPr>
            <w:tcW w:w="104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65">
              <w:r>
                <w:rPr>
                  <w:rFonts w:ascii="Arial" w:cs="Arial" w:eastAsia="Arial" w:hAnsi="Arial"/>
                  <w:sz w:val="18"/>
                  <w:szCs w:val="18"/>
                  <w:color w:val="0000FF"/>
                </w:rPr>
                <w:t>(incorporated by reference to Exhibit 10.1 to Current Report on Form 8-K filed August 20, 2020)</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10.72</w:t>
            </w:r>
          </w:p>
        </w:tc>
        <w:tc>
          <w:tcPr>
            <w:tcW w:w="9580" w:type="dxa"/>
            <w:vAlign w:val="bottom"/>
            <w:gridSpan w:val="25"/>
          </w:tcPr>
          <w:p>
            <w:pPr>
              <w:spacing w:after="0"/>
              <w:rPr>
                <w:rFonts w:ascii="Arial" w:cs="Arial" w:eastAsia="Arial" w:hAnsi="Arial"/>
                <w:sz w:val="18"/>
                <w:szCs w:val="18"/>
                <w:color w:val="0000FF"/>
                <w:w w:val="95"/>
              </w:rPr>
            </w:pPr>
            <w:hyperlink r:id="rId266">
              <w:r>
                <w:rPr>
                  <w:rFonts w:ascii="Arial" w:cs="Arial" w:eastAsia="Arial" w:hAnsi="Arial"/>
                  <w:sz w:val="18"/>
                  <w:szCs w:val="18"/>
                  <w:color w:val="0000FF"/>
                  <w:w w:val="95"/>
                </w:rPr>
                <w:t>Transition Services Agreement between the Company and LENSAR, Inc. (incorporated by reference to Exhibit 10.1 to Current</w:t>
              </w:r>
            </w:hyperlink>
          </w:p>
        </w:tc>
      </w:tr>
      <w:tr>
        <w:trPr>
          <w:trHeight w:val="156"/>
        </w:trPr>
        <w:tc>
          <w:tcPr>
            <w:tcW w:w="1040" w:type="dxa"/>
            <w:vAlign w:val="bottom"/>
          </w:tcPr>
          <w:p>
            <w:pPr>
              <w:spacing w:after="0"/>
              <w:rPr>
                <w:sz w:val="13"/>
                <w:szCs w:val="13"/>
                <w:color w:val="auto"/>
              </w:rPr>
            </w:pPr>
          </w:p>
        </w:tc>
        <w:tc>
          <w:tcPr>
            <w:tcW w:w="91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66">
              <w:r>
                <w:rPr>
                  <w:rFonts w:ascii="Arial" w:cs="Arial" w:eastAsia="Arial" w:hAnsi="Arial"/>
                  <w:sz w:val="18"/>
                  <w:szCs w:val="18"/>
                  <w:color w:val="0000FF"/>
                </w:rPr>
                <w:t>Report on Form 8-K filed October 2, 2020)</w:t>
              </w:r>
            </w:hyperlink>
          </w:p>
        </w:tc>
        <w:tc>
          <w:tcPr>
            <w:tcW w:w="26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10.73</w:t>
            </w:r>
          </w:p>
        </w:tc>
        <w:tc>
          <w:tcPr>
            <w:tcW w:w="9580" w:type="dxa"/>
            <w:vAlign w:val="bottom"/>
            <w:gridSpan w:val="25"/>
          </w:tcPr>
          <w:p>
            <w:pPr>
              <w:spacing w:after="0"/>
              <w:rPr>
                <w:rFonts w:ascii="Arial" w:cs="Arial" w:eastAsia="Arial" w:hAnsi="Arial"/>
                <w:sz w:val="18"/>
                <w:szCs w:val="18"/>
                <w:color w:val="0000FF"/>
                <w:w w:val="92"/>
              </w:rPr>
            </w:pPr>
            <w:hyperlink r:id="rId267">
              <w:r>
                <w:rPr>
                  <w:rFonts w:ascii="Arial" w:cs="Arial" w:eastAsia="Arial" w:hAnsi="Arial"/>
                  <w:sz w:val="18"/>
                  <w:szCs w:val="18"/>
                  <w:color w:val="0000FF"/>
                  <w:w w:val="92"/>
                </w:rPr>
                <w:t>Tax Matters Agreement between the Company and LENSAR, Inc. (incorporated by reference to Exhibit 10.2 to Current Report on</w:t>
              </w:r>
            </w:hyperlink>
          </w:p>
        </w:tc>
      </w:tr>
      <w:tr>
        <w:trPr>
          <w:trHeight w:val="155"/>
        </w:trPr>
        <w:tc>
          <w:tcPr>
            <w:tcW w:w="1040" w:type="dxa"/>
            <w:vAlign w:val="bottom"/>
          </w:tcPr>
          <w:p>
            <w:pPr>
              <w:spacing w:after="0"/>
              <w:rPr>
                <w:sz w:val="13"/>
                <w:szCs w:val="13"/>
                <w:color w:val="auto"/>
              </w:rPr>
            </w:pPr>
          </w:p>
        </w:tc>
        <w:tc>
          <w:tcPr>
            <w:tcW w:w="94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67">
              <w:r>
                <w:rPr>
                  <w:rFonts w:ascii="Arial" w:cs="Arial" w:eastAsia="Arial" w:hAnsi="Arial"/>
                  <w:sz w:val="18"/>
                  <w:szCs w:val="18"/>
                  <w:color w:val="0000FF"/>
                </w:rPr>
                <w:t>Form 8-K filed October 2, 2020)</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10.74</w:t>
            </w:r>
          </w:p>
        </w:tc>
        <w:tc>
          <w:tcPr>
            <w:tcW w:w="9580" w:type="dxa"/>
            <w:vAlign w:val="bottom"/>
            <w:gridSpan w:val="25"/>
          </w:tcPr>
          <w:p>
            <w:pPr>
              <w:spacing w:after="0"/>
              <w:rPr>
                <w:rFonts w:ascii="Arial" w:cs="Arial" w:eastAsia="Arial" w:hAnsi="Arial"/>
                <w:sz w:val="18"/>
                <w:szCs w:val="18"/>
                <w:color w:val="0000FF"/>
                <w:w w:val="97"/>
              </w:rPr>
            </w:pPr>
            <w:hyperlink r:id="rId268">
              <w:r>
                <w:rPr>
                  <w:rFonts w:ascii="Arial" w:cs="Arial" w:eastAsia="Arial" w:hAnsi="Arial"/>
                  <w:sz w:val="18"/>
                  <w:szCs w:val="18"/>
                  <w:color w:val="0000FF"/>
                  <w:w w:val="97"/>
                </w:rPr>
                <w:t>Commercial Sublease Agreement dated as of November 5, 2020 by and between RDH Investments LLC and the Company</w:t>
              </w:r>
            </w:hyperlink>
          </w:p>
        </w:tc>
      </w:tr>
      <w:tr>
        <w:trPr>
          <w:trHeight w:val="156"/>
        </w:trPr>
        <w:tc>
          <w:tcPr>
            <w:tcW w:w="104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68">
              <w:r>
                <w:rPr>
                  <w:rFonts w:ascii="Arial" w:cs="Arial" w:eastAsia="Arial" w:hAnsi="Arial"/>
                  <w:sz w:val="18"/>
                  <w:szCs w:val="18"/>
                  <w:color w:val="0000FF"/>
                  <w:w w:val="91"/>
                </w:rPr>
                <w:t>(incorporated by reference to Exhibit 10.6 to Quarterly Report on Form 10-Q filed November 13, 2020)</w:t>
              </w:r>
            </w:hyperlink>
          </w:p>
        </w:tc>
        <w:tc>
          <w:tcPr>
            <w:tcW w:w="136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40" w:type="dxa"/>
            <w:vAlign w:val="bottom"/>
          </w:tcPr>
          <w:p>
            <w:pPr>
              <w:jc w:val="center"/>
              <w:ind w:right="250"/>
              <w:spacing w:after="0"/>
              <w:rPr>
                <w:sz w:val="20"/>
                <w:szCs w:val="20"/>
                <w:color w:val="auto"/>
              </w:rPr>
            </w:pPr>
            <w:r>
              <w:rPr>
                <w:rFonts w:ascii="Arial" w:cs="Arial" w:eastAsia="Arial" w:hAnsi="Arial"/>
                <w:sz w:val="18"/>
                <w:szCs w:val="18"/>
                <w:color w:val="auto"/>
                <w:w w:val="90"/>
              </w:rPr>
              <w:t>10.75#</w:t>
            </w:r>
          </w:p>
        </w:tc>
        <w:tc>
          <w:tcPr>
            <w:tcW w:w="81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42">
              <w:r>
                <w:rPr>
                  <w:rFonts w:ascii="Arial" w:cs="Arial" w:eastAsia="Arial" w:hAnsi="Arial"/>
                  <w:sz w:val="18"/>
                  <w:szCs w:val="18"/>
                  <w:color w:val="0000FF"/>
                  <w:w w:val="90"/>
                </w:rPr>
                <w:t>Capital Provision Agreement dated as of December 11, 2020 between the Company and Epps Investments LLC †</w:t>
              </w:r>
            </w:hyperlink>
          </w:p>
        </w:tc>
        <w:tc>
          <w:tcPr>
            <w:tcW w:w="1400" w:type="dxa"/>
            <w:vAlign w:val="bottom"/>
            <w:gridSpan w:val="16"/>
          </w:tcPr>
          <w:p>
            <w:pPr>
              <w:spacing w:after="0"/>
              <w:rPr>
                <w:sz w:val="22"/>
                <w:szCs w:val="22"/>
                <w:color w:val="auto"/>
              </w:rPr>
            </w:pPr>
          </w:p>
        </w:tc>
      </w:tr>
      <w:tr>
        <w:trPr>
          <w:trHeight w:val="264"/>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21.1#</w:t>
            </w:r>
          </w:p>
        </w:tc>
        <w:tc>
          <w:tcPr>
            <w:tcW w:w="9580" w:type="dxa"/>
            <w:vAlign w:val="bottom"/>
            <w:gridSpan w:val="25"/>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Subsidiaries of the Registrant</w:t>
              </w:r>
            </w:hyperlink>
          </w:p>
        </w:tc>
      </w:tr>
      <w:tr>
        <w:trPr>
          <w:trHeight w:val="20"/>
        </w:trPr>
        <w:tc>
          <w:tcPr>
            <w:tcW w:w="10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31.1#</w:t>
            </w:r>
          </w:p>
        </w:tc>
        <w:tc>
          <w:tcPr>
            <w:tcW w:w="9580" w:type="dxa"/>
            <w:vAlign w:val="bottom"/>
            <w:gridSpan w:val="25"/>
          </w:tcPr>
          <w:p>
            <w:pPr>
              <w:spacing w:after="0"/>
              <w:rPr>
                <w:rFonts w:ascii="Arial" w:cs="Arial" w:eastAsia="Arial" w:hAnsi="Arial"/>
                <w:sz w:val="18"/>
                <w:szCs w:val="18"/>
                <w:color w:val="0000FF"/>
                <w:w w:val="91"/>
              </w:rPr>
            </w:pPr>
            <w:hyperlink w:anchor="page181">
              <w:r>
                <w:rPr>
                  <w:rFonts w:ascii="Arial" w:cs="Arial" w:eastAsia="Arial" w:hAnsi="Arial"/>
                  <w:sz w:val="18"/>
                  <w:szCs w:val="18"/>
                  <w:color w:val="0000FF"/>
                  <w:w w:val="91"/>
                </w:rPr>
                <w:t>Certification of Principal Executive Officer pursuant to Rule 13a-14(a) or Rule 15d-14(a) of the Securities Exchange Act of 1934, as</w:t>
              </w:r>
            </w:hyperlink>
          </w:p>
        </w:tc>
      </w:tr>
      <w:tr>
        <w:trPr>
          <w:trHeight w:val="155"/>
        </w:trPr>
        <w:tc>
          <w:tcPr>
            <w:tcW w:w="1040" w:type="dxa"/>
            <w:vAlign w:val="bottom"/>
          </w:tcPr>
          <w:p>
            <w:pPr>
              <w:spacing w:after="0"/>
              <w:rPr>
                <w:sz w:val="13"/>
                <w:szCs w:val="13"/>
                <w:color w:val="auto"/>
              </w:rPr>
            </w:pPr>
          </w:p>
        </w:tc>
        <w:tc>
          <w:tcPr>
            <w:tcW w:w="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5"/>
              </w:rPr>
            </w:pPr>
            <w:hyperlink w:anchor="page181">
              <w:r>
                <w:rPr>
                  <w:rFonts w:ascii="Arial" w:cs="Arial" w:eastAsia="Arial" w:hAnsi="Arial"/>
                  <w:sz w:val="18"/>
                  <w:szCs w:val="18"/>
                  <w:color w:val="0000FF"/>
                  <w:w w:val="85"/>
                </w:rPr>
                <w:t>amended</w:t>
              </w:r>
            </w:hyperlink>
          </w:p>
        </w:tc>
        <w:tc>
          <w:tcPr>
            <w:tcW w:w="89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31.2#</w:t>
            </w:r>
          </w:p>
        </w:tc>
        <w:tc>
          <w:tcPr>
            <w:tcW w:w="9580" w:type="dxa"/>
            <w:vAlign w:val="bottom"/>
            <w:gridSpan w:val="25"/>
          </w:tcPr>
          <w:p>
            <w:pPr>
              <w:spacing w:after="0"/>
              <w:rPr>
                <w:rFonts w:ascii="Arial" w:cs="Arial" w:eastAsia="Arial" w:hAnsi="Arial"/>
                <w:sz w:val="18"/>
                <w:szCs w:val="18"/>
                <w:color w:val="0000FF"/>
                <w:w w:val="92"/>
              </w:rPr>
            </w:pPr>
            <w:hyperlink w:anchor="page182">
              <w:r>
                <w:rPr>
                  <w:rFonts w:ascii="Arial" w:cs="Arial" w:eastAsia="Arial" w:hAnsi="Arial"/>
                  <w:sz w:val="18"/>
                  <w:szCs w:val="18"/>
                  <w:color w:val="0000FF"/>
                  <w:w w:val="92"/>
                </w:rPr>
                <w:t>Certification of Principal Financial Officer pursuant to Rule 13a-14(a) or Rule 15d-14(a) of the Securities Exchange Act of 1934, as</w:t>
              </w:r>
            </w:hyperlink>
          </w:p>
        </w:tc>
      </w:tr>
      <w:tr>
        <w:trPr>
          <w:trHeight w:val="156"/>
        </w:trPr>
        <w:tc>
          <w:tcPr>
            <w:tcW w:w="1040" w:type="dxa"/>
            <w:vAlign w:val="bottom"/>
          </w:tcPr>
          <w:p>
            <w:pPr>
              <w:spacing w:after="0"/>
              <w:rPr>
                <w:sz w:val="13"/>
                <w:szCs w:val="13"/>
                <w:color w:val="auto"/>
              </w:rPr>
            </w:pPr>
          </w:p>
        </w:tc>
        <w:tc>
          <w:tcPr>
            <w:tcW w:w="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5"/>
              </w:rPr>
            </w:pPr>
            <w:hyperlink w:anchor="page182">
              <w:r>
                <w:rPr>
                  <w:rFonts w:ascii="Arial" w:cs="Arial" w:eastAsia="Arial" w:hAnsi="Arial"/>
                  <w:sz w:val="18"/>
                  <w:szCs w:val="18"/>
                  <w:color w:val="0000FF"/>
                  <w:w w:val="85"/>
                </w:rPr>
                <w:t>amended</w:t>
              </w:r>
            </w:hyperlink>
          </w:p>
        </w:tc>
        <w:tc>
          <w:tcPr>
            <w:tcW w:w="8840" w:type="dxa"/>
            <w:vAlign w:val="bottom"/>
            <w:tcBorders>
              <w:top w:val="single" w:sz="8" w:color="0000FF"/>
            </w:tcBorders>
            <w:gridSpan w:val="20"/>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63"/>
        </w:trPr>
        <w:tc>
          <w:tcPr>
            <w:tcW w:w="1040" w:type="dxa"/>
            <w:vAlign w:val="bottom"/>
          </w:tcPr>
          <w:p>
            <w:pPr>
              <w:jc w:val="center"/>
              <w:ind w:right="250"/>
              <w:spacing w:after="0"/>
              <w:rPr>
                <w:sz w:val="20"/>
                <w:szCs w:val="20"/>
                <w:color w:val="auto"/>
              </w:rPr>
            </w:pPr>
            <w:r>
              <w:rPr>
                <w:rFonts w:ascii="Arial" w:cs="Arial" w:eastAsia="Arial" w:hAnsi="Arial"/>
                <w:sz w:val="18"/>
                <w:szCs w:val="18"/>
                <w:color w:val="auto"/>
                <w:w w:val="89"/>
              </w:rPr>
              <w:t>32.1#+</w:t>
            </w:r>
          </w:p>
        </w:tc>
        <w:tc>
          <w:tcPr>
            <w:tcW w:w="9580" w:type="dxa"/>
            <w:vAlign w:val="bottom"/>
            <w:gridSpan w:val="25"/>
          </w:tcPr>
          <w:p>
            <w:pPr>
              <w:spacing w:after="0"/>
              <w:rPr>
                <w:rFonts w:ascii="Arial" w:cs="Arial" w:eastAsia="Arial" w:hAnsi="Arial"/>
                <w:sz w:val="18"/>
                <w:szCs w:val="18"/>
                <w:color w:val="0000FF"/>
                <w:w w:val="98"/>
              </w:rPr>
            </w:pPr>
            <w:hyperlink w:anchor="page183">
              <w:r>
                <w:rPr>
                  <w:rFonts w:ascii="Arial" w:cs="Arial" w:eastAsia="Arial" w:hAnsi="Arial"/>
                  <w:sz w:val="18"/>
                  <w:szCs w:val="18"/>
                  <w:color w:val="0000FF"/>
                  <w:w w:val="98"/>
                </w:rPr>
                <w:t>Certifications of Principal Executive Officer and Principal Financial Officer pursuant to 18 U.S.C. Section 1350, as adopted</w:t>
              </w:r>
            </w:hyperlink>
          </w:p>
        </w:tc>
      </w:tr>
      <w:tr>
        <w:trPr>
          <w:trHeight w:val="156"/>
        </w:trPr>
        <w:tc>
          <w:tcPr>
            <w:tcW w:w="1040" w:type="dxa"/>
            <w:vAlign w:val="bottom"/>
          </w:tcPr>
          <w:p>
            <w:pPr>
              <w:spacing w:after="0"/>
              <w:rPr>
                <w:sz w:val="13"/>
                <w:szCs w:val="13"/>
                <w:color w:val="auto"/>
              </w:rPr>
            </w:pPr>
          </w:p>
        </w:tc>
        <w:tc>
          <w:tcPr>
            <w:tcW w:w="89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83">
              <w:r>
                <w:rPr>
                  <w:rFonts w:ascii="Arial" w:cs="Arial" w:eastAsia="Arial" w:hAnsi="Arial"/>
                  <w:sz w:val="18"/>
                  <w:szCs w:val="18"/>
                  <w:color w:val="0000FF"/>
                </w:rPr>
                <w:t>pursuant to Section 906 of the Sarbanes-Oxley Act of 2002</w:t>
              </w:r>
            </w:hyperlink>
          </w:p>
        </w:tc>
        <w:tc>
          <w:tcPr>
            <w:tcW w:w="660" w:type="dxa"/>
            <w:vAlign w:val="bottom"/>
            <w:gridSpan w:val="12"/>
          </w:tcPr>
          <w:p>
            <w:pPr>
              <w:spacing w:after="0"/>
              <w:rPr>
                <w:sz w:val="13"/>
                <w:szCs w:val="13"/>
                <w:color w:val="auto"/>
              </w:rPr>
            </w:pPr>
          </w:p>
        </w:tc>
      </w:tr>
      <w:tr>
        <w:trPr>
          <w:trHeight w:val="304"/>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2"/>
              </w:rPr>
              <w:t>101.INS</w:t>
            </w:r>
          </w:p>
        </w:tc>
        <w:tc>
          <w:tcPr>
            <w:tcW w:w="42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5320" w:type="dxa"/>
            <w:vAlign w:val="bottom"/>
            <w:gridSpan w:val="19"/>
          </w:tcPr>
          <w:p>
            <w:pPr>
              <w:spacing w:after="0"/>
              <w:rPr>
                <w:sz w:val="24"/>
                <w:szCs w:val="24"/>
                <w:color w:val="auto"/>
              </w:rPr>
            </w:pPr>
          </w:p>
        </w:tc>
      </w:tr>
      <w:tr>
        <w:trPr>
          <w:trHeight w:val="284"/>
        </w:trPr>
        <w:tc>
          <w:tcPr>
            <w:tcW w:w="1040" w:type="dxa"/>
            <w:vAlign w:val="bottom"/>
          </w:tcPr>
          <w:p>
            <w:pPr>
              <w:jc w:val="center"/>
              <w:ind w:right="250"/>
              <w:spacing w:after="0"/>
              <w:rPr>
                <w:sz w:val="20"/>
                <w:szCs w:val="20"/>
                <w:color w:val="auto"/>
              </w:rPr>
            </w:pPr>
            <w:r>
              <w:rPr>
                <w:rFonts w:ascii="Arial" w:cs="Arial" w:eastAsia="Arial" w:hAnsi="Arial"/>
                <w:sz w:val="18"/>
                <w:szCs w:val="18"/>
                <w:color w:val="auto"/>
                <w:w w:val="90"/>
              </w:rPr>
              <w:t>101.SCH</w:t>
            </w:r>
          </w:p>
        </w:tc>
        <w:tc>
          <w:tcPr>
            <w:tcW w:w="9580" w:type="dxa"/>
            <w:vAlign w:val="bottom"/>
            <w:gridSpan w:val="25"/>
          </w:tcPr>
          <w:p>
            <w:pPr>
              <w:spacing w:after="0"/>
              <w:rPr>
                <w:sz w:val="20"/>
                <w:szCs w:val="20"/>
                <w:color w:val="auto"/>
              </w:rPr>
            </w:pPr>
            <w:r>
              <w:rPr>
                <w:rFonts w:ascii="Arial" w:cs="Arial" w:eastAsia="Arial" w:hAnsi="Arial"/>
                <w:sz w:val="18"/>
                <w:szCs w:val="18"/>
                <w:color w:val="auto"/>
              </w:rPr>
              <w:t>XBRL Taxonomy Extension Schema</w:t>
            </w:r>
          </w:p>
        </w:tc>
      </w:tr>
      <w:tr>
        <w:trPr>
          <w:trHeight w:val="283"/>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7"/>
              </w:rPr>
              <w:t>101.CAL</w:t>
            </w:r>
          </w:p>
        </w:tc>
        <w:tc>
          <w:tcPr>
            <w:tcW w:w="958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83"/>
        </w:trPr>
        <w:tc>
          <w:tcPr>
            <w:tcW w:w="1040" w:type="dxa"/>
            <w:vAlign w:val="bottom"/>
          </w:tcPr>
          <w:p>
            <w:pPr>
              <w:jc w:val="center"/>
              <w:ind w:right="250"/>
              <w:spacing w:after="0"/>
              <w:rPr>
                <w:sz w:val="20"/>
                <w:szCs w:val="20"/>
                <w:color w:val="auto"/>
              </w:rPr>
            </w:pPr>
            <w:r>
              <w:rPr>
                <w:rFonts w:ascii="Arial" w:cs="Arial" w:eastAsia="Arial" w:hAnsi="Arial"/>
                <w:sz w:val="18"/>
                <w:szCs w:val="18"/>
                <w:color w:val="auto"/>
                <w:w w:val="92"/>
              </w:rPr>
              <w:t>101.DEF</w:t>
            </w:r>
          </w:p>
        </w:tc>
        <w:tc>
          <w:tcPr>
            <w:tcW w:w="958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84"/>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98"/>
              </w:rPr>
              <w:t>101.LAB</w:t>
            </w:r>
          </w:p>
        </w:tc>
        <w:tc>
          <w:tcPr>
            <w:tcW w:w="958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w:t>
            </w:r>
          </w:p>
        </w:tc>
      </w:tr>
      <w:tr>
        <w:trPr>
          <w:trHeight w:val="283"/>
        </w:trPr>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101.PRE</w:t>
            </w:r>
          </w:p>
        </w:tc>
        <w:tc>
          <w:tcPr>
            <w:tcW w:w="958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144" w:lineRule="exact"/>
        <w:rPr>
          <w:sz w:val="20"/>
          <w:szCs w:val="20"/>
          <w:color w:val="auto"/>
        </w:rPr>
      </w:pPr>
    </w:p>
    <w:p>
      <w:pPr>
        <w:ind w:left="720" w:hanging="559"/>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559"/>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0" w:lineRule="exact"/>
        <w:rPr>
          <w:sz w:val="20"/>
          <w:szCs w:val="20"/>
          <w:color w:val="auto"/>
        </w:rPr>
      </w:pPr>
    </w:p>
    <w:p>
      <w:pPr>
        <w:ind w:left="720" w:right="260" w:hanging="559"/>
        <w:spacing w:after="0" w:line="258"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Portions of this exhibit have been redacted in compliance with Regulation S-K Item 601(b)(10). The omitted information is not material and would likely cause competitive harm to the Company if publicly disclosed.</w:t>
      </w:r>
    </w:p>
    <w:p>
      <w:pPr>
        <w:ind w:left="720" w:right="60" w:hanging="559"/>
        <w:spacing w:after="0" w:line="224"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7" w:right="499" w:bottom="1440" w:gutter="0" w:footer="0" w:header="0"/>
        </w:sectPr>
      </w:pPr>
    </w:p>
    <w:bookmarkStart w:id="138" w:name="page139"/>
    <w:bookmarkEnd w:id="138"/>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PDL BIOPHARMA, INC.</w:t>
      </w:r>
    </w:p>
    <w:p>
      <w:pPr>
        <w:spacing w:after="0" w:line="77" w:lineRule="exact"/>
        <w:rPr>
          <w:sz w:val="20"/>
          <w:szCs w:val="20"/>
          <w:color w:val="auto"/>
        </w:rPr>
      </w:pPr>
    </w:p>
    <w:p>
      <w:pPr>
        <w:ind w:left="5140"/>
        <w:spacing w:after="0"/>
        <w:tabs>
          <w:tab w:leader="none" w:pos="6760" w:val="left"/>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DOMINIQUE MONNET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31750</wp:posOffset>
            </wp:positionV>
            <wp:extent cx="24688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9"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(Dominique Monnet)</w:t>
      </w:r>
    </w:p>
    <w:p>
      <w:pPr>
        <w:spacing w:after="0" w:line="27"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7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Date: March 26, 2021</w:t>
      </w:r>
    </w:p>
    <w:p>
      <w:pPr>
        <w:spacing w:after="0" w:line="306" w:lineRule="exact"/>
        <w:rPr>
          <w:sz w:val="20"/>
          <w:szCs w:val="20"/>
          <w:color w:val="auto"/>
        </w:rPr>
      </w:pPr>
    </w:p>
    <w:p>
      <w:pPr>
        <w:ind w:right="50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300" w:type="dxa"/>
            <w:vAlign w:val="bottom"/>
          </w:tcPr>
          <w:p>
            <w:pPr>
              <w:spacing w:after="0"/>
              <w:rPr>
                <w:sz w:val="17"/>
                <w:szCs w:val="17"/>
                <w:color w:val="auto"/>
              </w:rPr>
            </w:pPr>
          </w:p>
        </w:tc>
        <w:tc>
          <w:tcPr>
            <w:tcW w:w="6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Title</w:t>
            </w:r>
          </w:p>
        </w:tc>
        <w:tc>
          <w:tcPr>
            <w:tcW w:w="70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80" w:type="dxa"/>
            <w:vAlign w:val="bottom"/>
            <w:vMerge w:val="restart"/>
          </w:tcPr>
          <w:p>
            <w:pPr>
              <w:ind w:left="560"/>
              <w:spacing w:after="0"/>
              <w:rPr>
                <w:sz w:val="20"/>
                <w:szCs w:val="20"/>
                <w:color w:val="auto"/>
              </w:rPr>
            </w:pPr>
            <w:r>
              <w:rPr>
                <w:rFonts w:ascii="Arial" w:cs="Arial" w:eastAsia="Arial" w:hAnsi="Arial"/>
                <w:sz w:val="18"/>
                <w:szCs w:val="18"/>
                <w:color w:val="auto"/>
                <w:w w:val="90"/>
              </w:rPr>
              <w:t>/S/</w:t>
            </w:r>
          </w:p>
        </w:tc>
        <w:tc>
          <w:tcPr>
            <w:tcW w:w="2580" w:type="dxa"/>
            <w:vAlign w:val="bottom"/>
            <w:gridSpan w:val="3"/>
            <w:vMerge w:val="restart"/>
          </w:tcPr>
          <w:p>
            <w:pPr>
              <w:jc w:val="center"/>
              <w:ind w:right="400"/>
              <w:spacing w:after="0"/>
              <w:rPr>
                <w:sz w:val="20"/>
                <w:szCs w:val="20"/>
                <w:color w:val="auto"/>
              </w:rPr>
            </w:pPr>
            <w:r>
              <w:rPr>
                <w:rFonts w:ascii="Arial" w:cs="Arial" w:eastAsia="Arial" w:hAnsi="Arial"/>
                <w:sz w:val="18"/>
                <w:szCs w:val="18"/>
                <w:color w:val="auto"/>
                <w:w w:val="99"/>
              </w:rPr>
              <w:t>DOMINIQUE MONNET</w:t>
            </w:r>
          </w:p>
        </w:tc>
        <w:tc>
          <w:tcPr>
            <w:tcW w:w="6300" w:type="dxa"/>
            <w:vAlign w:val="bottom"/>
            <w:gridSpan w:val="3"/>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780" w:type="dxa"/>
            <w:vAlign w:val="bottom"/>
            <w:vMerge w:val="continue"/>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6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220" w:type="dxa"/>
            <w:vAlign w:val="bottom"/>
            <w:gridSpan w:val="3"/>
            <w:vMerge w:val="restart"/>
          </w:tcPr>
          <w:p>
            <w:pPr>
              <w:ind w:left="6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122"/>
        </w:trPr>
        <w:tc>
          <w:tcPr>
            <w:tcW w:w="7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300" w:type="dxa"/>
            <w:vAlign w:val="bottom"/>
            <w:gridSpan w:val="3"/>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5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(Dominique Monnet)</w:t>
            </w:r>
          </w:p>
        </w:tc>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60" w:type="dxa"/>
            <w:vAlign w:val="bottom"/>
            <w:gridSpan w:val="4"/>
            <w:vMerge w:val="restart"/>
          </w:tcPr>
          <w:p>
            <w:pPr>
              <w:jc w:val="center"/>
              <w:spacing w:after="0"/>
              <w:rPr>
                <w:sz w:val="20"/>
                <w:szCs w:val="20"/>
                <w:color w:val="auto"/>
              </w:rPr>
            </w:pPr>
            <w:r>
              <w:rPr>
                <w:rFonts w:ascii="Arial" w:cs="Arial" w:eastAsia="Arial" w:hAnsi="Arial"/>
                <w:sz w:val="18"/>
                <w:szCs w:val="18"/>
                <w:color w:val="auto"/>
                <w:w w:val="96"/>
              </w:rPr>
              <w:t>/S/ EDWARD A. IMBROGNO</w:t>
            </w:r>
          </w:p>
        </w:tc>
        <w:tc>
          <w:tcPr>
            <w:tcW w:w="6300" w:type="dxa"/>
            <w:vAlign w:val="bottom"/>
            <w:gridSpan w:val="3"/>
          </w:tcPr>
          <w:p>
            <w:pPr>
              <w:jc w:val="center"/>
              <w:spacing w:after="0"/>
              <w:rPr>
                <w:sz w:val="20"/>
                <w:szCs w:val="20"/>
                <w:color w:val="auto"/>
              </w:rPr>
            </w:pPr>
            <w:r>
              <w:rPr>
                <w:rFonts w:ascii="Arial" w:cs="Arial" w:eastAsia="Arial" w:hAnsi="Arial"/>
                <w:sz w:val="18"/>
                <w:szCs w:val="18"/>
                <w:color w:val="auto"/>
                <w:w w:val="92"/>
              </w:rPr>
              <w:t>Vice President and Chief Financial Officer (Principal Financial Officer and Principal</w:t>
            </w:r>
          </w:p>
        </w:tc>
        <w:tc>
          <w:tcPr>
            <w:tcW w:w="1220" w:type="dxa"/>
            <w:vAlign w:val="bottom"/>
            <w:gridSpan w:val="3"/>
            <w:vMerge w:val="restart"/>
          </w:tcPr>
          <w:p>
            <w:pPr>
              <w:ind w:left="6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gridSpan w:val="4"/>
            <w:vMerge w:val="continue"/>
          </w:tcPr>
          <w:p>
            <w:pPr>
              <w:spacing w:after="0"/>
              <w:rPr>
                <w:sz w:val="19"/>
                <w:szCs w:val="19"/>
                <w:color w:val="auto"/>
              </w:rPr>
            </w:pPr>
          </w:p>
        </w:tc>
        <w:tc>
          <w:tcPr>
            <w:tcW w:w="6300" w:type="dxa"/>
            <w:vAlign w:val="bottom"/>
            <w:gridSpan w:val="3"/>
          </w:tcPr>
          <w:p>
            <w:pPr>
              <w:jc w:val="center"/>
              <w:spacing w:after="0"/>
              <w:rPr>
                <w:sz w:val="20"/>
                <w:szCs w:val="20"/>
                <w:color w:val="auto"/>
              </w:rPr>
            </w:pPr>
            <w:r>
              <w:rPr>
                <w:rFonts w:ascii="Arial" w:cs="Arial" w:eastAsia="Arial" w:hAnsi="Arial"/>
                <w:sz w:val="18"/>
                <w:szCs w:val="18"/>
                <w:color w:val="auto"/>
                <w:w w:val="95"/>
              </w:rPr>
              <w:t>Accounting Officer)</w:t>
            </w:r>
          </w:p>
        </w:tc>
        <w:tc>
          <w:tcPr>
            <w:tcW w:w="12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5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(Edward A. Imbrogno)</w:t>
            </w:r>
          </w:p>
        </w:tc>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7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/S/ ALAN BAZAAR</w:t>
            </w:r>
          </w:p>
        </w:tc>
        <w:tc>
          <w:tcPr>
            <w:tcW w:w="63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5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(Alan Bazaar)</w:t>
            </w:r>
          </w:p>
        </w:tc>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6"/>
              </w:rPr>
              <w:t>NATASHA A. HERNDAY</w:t>
            </w:r>
          </w:p>
        </w:tc>
        <w:tc>
          <w:tcPr>
            <w:tcW w:w="63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5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2"/>
              </w:rPr>
              <w:t>(Natasha A. Hernday)</w:t>
            </w:r>
          </w:p>
        </w:tc>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0"/>
              </w:rPr>
              <w:t>/S/</w:t>
            </w:r>
          </w:p>
        </w:tc>
        <w:tc>
          <w:tcPr>
            <w:tcW w:w="25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6"/>
              </w:rPr>
              <w:t>JOHN P. MCLAUGHLIN</w:t>
            </w:r>
          </w:p>
        </w:tc>
        <w:tc>
          <w:tcPr>
            <w:tcW w:w="63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5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2"/>
              </w:rPr>
              <w:t>(John P. McLaughlin)</w:t>
            </w:r>
          </w:p>
        </w:tc>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33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8"/>
              </w:rPr>
              <w:t>/S/ ELIZABETH O’FARRELL</w:t>
            </w:r>
          </w:p>
        </w:tc>
        <w:tc>
          <w:tcPr>
            <w:tcW w:w="630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1"/>
              </w:rPr>
              <w:t>March 26, 2021</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5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6"/>
              </w:rPr>
              <w:t>(Elizabeth O’Farrell)</w:t>
            </w:r>
          </w:p>
        </w:tc>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931" w:right="459" w:bottom="1440" w:gutter="0" w:footer="0" w:header="0"/>
        </w:sectPr>
      </w:pPr>
    </w:p>
    <w:bookmarkStart w:id="139" w:name="page140"/>
    <w:bookmarkEnd w:id="139"/>
    <w:p>
      <w:pPr>
        <w:ind w:left="10400"/>
        <w:spacing w:after="0"/>
        <w:rPr>
          <w:sz w:val="20"/>
          <w:szCs w:val="20"/>
          <w:color w:val="auto"/>
        </w:rPr>
      </w:pPr>
      <w:r>
        <w:rPr>
          <w:rFonts w:ascii="Arial" w:cs="Arial" w:eastAsia="Arial" w:hAnsi="Arial"/>
          <w:sz w:val="16"/>
          <w:szCs w:val="16"/>
          <w:b w:val="1"/>
          <w:bCs w:val="1"/>
          <w:color w:val="auto"/>
        </w:rPr>
        <w:t>Exhibit 4.8</w:t>
      </w:r>
    </w:p>
    <w:p>
      <w:pPr>
        <w:spacing w:after="0" w:line="27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93" w:lineRule="exact"/>
        <w:rPr>
          <w:sz w:val="20"/>
          <w:szCs w:val="20"/>
          <w:color w:val="auto"/>
        </w:rPr>
      </w:pPr>
    </w:p>
    <w:p>
      <w:pPr>
        <w:jc w:val="center"/>
        <w:ind w:left="340" w:right="120"/>
        <w:spacing w:after="0" w:line="279" w:lineRule="auto"/>
        <w:rPr>
          <w:sz w:val="20"/>
          <w:szCs w:val="20"/>
          <w:color w:val="auto"/>
        </w:rPr>
      </w:pPr>
      <w:r>
        <w:rPr>
          <w:rFonts w:ascii="Arial" w:cs="Arial" w:eastAsia="Arial" w:hAnsi="Arial"/>
          <w:sz w:val="17"/>
          <w:szCs w:val="17"/>
          <w:i w:val="1"/>
          <w:iCs w:val="1"/>
          <w:color w:val="auto"/>
        </w:rPr>
        <w:t>PDL BioPharma, Inc. (the “Company,” “we,” “our” and “us”) had one class of securities registered pursuant to Section 12 of the Securities Exchange Act of 1934, as amended (the “Exchange Act”), as of December 31, 2020: our common stock. On January 8, 2021, we filed a Form 15 notifying the Securities and Exchange Commission of the deregistration of our common stock under Section 12 of the Exchange Act. The description of our common stock below describes the rights and privileges of holders of our common stock as of December 31,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following summary of the terms of our common stock does not purport to be complete and is subject to and qualified in its entirety by reference to our restated certificate of incorporation, as amended, and our third amended and restated bylaws, which are filed as exhibits to our most recent Annual Report on Form 10-K and are incorporated by reference herein.</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authorized capital stock consists of 350,000,000 shares of common stock, par value $0.01 per share, and 10,000,000 shares of preferred stock, par value $0.01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Holders of our common stock are entitled to one vote for each share held of record on all matters submitted to a vote of stockholders. The vote of the holders of a majority of the stock represented at a meeting at which a quorum is present is generally required to take stockholder action, unless a greater vote is required by law. The holders are not entitled to cumulative voting in the election of directors. Directors are elected by majority vote in uncontested elections, and by plurality vote in contested elections (i.e., where the number of director nominees exceeds the number of directors to be elected). If a director does not receive a majority vote for reelection in an uncontested election, our Corporate Governance Guidelines require such director to offer his or her resignation, subject to the approval of the independent directors of our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00" w:firstLine="180"/>
        <w:spacing w:after="0" w:line="277"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will be entitled to such dividends as may be declared by our board of directors out of funds legally available for such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the event of any liquidation, dissolution or winding up, the holders of common stock are entitled to share ratably in our net assets remaining after the payment of all creditors and liquidation preferences of preferred stock,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Holders of common stock have no preemptive rights. The common stock is not entitled to any sinking fund, redemption or conversion provisions.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ectPr>
          <w:pgSz w:w="11900" w:h="16838" w:orient="portrait"/>
          <w:cols w:equalWidth="0" w:num="1">
            <w:col w:w="11240"/>
          </w:cols>
          <w:pgMar w:left="320" w:top="1417" w:right="339" w:bottom="1440" w:gutter="0" w:footer="0" w:header="0"/>
        </w:sectPr>
      </w:pPr>
    </w:p>
    <w:bookmarkStart w:id="140" w:name="page141"/>
    <w:bookmarkEnd w:id="140"/>
    <w:p>
      <w:pPr>
        <w:jc w:val="both"/>
        <w:ind w:right="60" w:firstLine="648"/>
        <w:spacing w:after="0" w:line="263" w:lineRule="auto"/>
        <w:rPr>
          <w:sz w:val="20"/>
          <w:szCs w:val="20"/>
          <w:color w:val="auto"/>
        </w:rPr>
      </w:pPr>
      <w:r>
        <w:rPr>
          <w:rFonts w:ascii="Arial" w:cs="Arial" w:eastAsia="Arial" w:hAnsi="Arial"/>
          <w:sz w:val="18"/>
          <w:szCs w:val="18"/>
          <w:color w:val="auto"/>
        </w:rPr>
        <w:t>The outstanding shares of common stock are duly authorized, validly issued, fully paid and nonassessable.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the common stock is Computershare, Inc, 250 Royall Street, Canton, Massachusetts 02021.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provisions in our charter or bylaws may make a takeover of our Company more difficult:</w:t>
      </w:r>
    </w:p>
    <w:p>
      <w:pPr>
        <w:spacing w:after="0" w:line="63" w:lineRule="exact"/>
        <w:rPr>
          <w:sz w:val="20"/>
          <w:szCs w:val="20"/>
          <w:color w:val="auto"/>
        </w:rPr>
      </w:pPr>
    </w:p>
    <w:p>
      <w:pPr>
        <w:ind w:left="1300" w:hanging="320"/>
        <w:spacing w:after="0" w:line="277" w:lineRule="auto"/>
        <w:tabs>
          <w:tab w:leader="none" w:pos="12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provision in our charter that our board of directors will be a classified board pursuant to which one-third of our directors will be elected each year to serve for a three-year term;</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bylaw limiting the persons who may call special meetings of stockholders to our board of directors; and</w:t>
      </w:r>
    </w:p>
    <w:p>
      <w:pPr>
        <w:spacing w:after="0" w:line="63" w:lineRule="exact"/>
        <w:rPr>
          <w:rFonts w:ascii="Arial" w:cs="Arial" w:eastAsia="Arial" w:hAnsi="Arial"/>
          <w:sz w:val="18"/>
          <w:szCs w:val="18"/>
          <w:color w:val="auto"/>
        </w:rPr>
      </w:pPr>
    </w:p>
    <w:p>
      <w:pPr>
        <w:ind w:left="1300" w:right="340" w:hanging="320"/>
        <w:spacing w:after="0" w:line="277" w:lineRule="auto"/>
        <w:tabs>
          <w:tab w:leader="none" w:pos="12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bylaws establishing an advance written notice procedure for stockholders seeking to nominate candidates for election to the board of directors or for proposing matters which can be acted upon at stockholders’ meetings.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These provisions may delay stockholder actions with respect to business combinations and the election of new members to our board of directors. As such, the provisions could discourage open market purchases of our common stock because a stockholder who desires to participate in a business combination or elect a new director may consider them disadvantageous. Additionally, the issuance of preferred stock could delay or prevent a change of control or other corporate action.</w:t>
      </w:r>
    </w:p>
    <w:p>
      <w:pPr>
        <w:spacing w:after="0" w:line="21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As a Delaware corporation, we are subject to Section 203 of the Delaware General Corporation Law.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203 prevents an “interested stockholder” from engaging in a “business combination” with us for three years following the date that person became an interested stockholder, unless:</w:t>
      </w:r>
    </w:p>
    <w:p>
      <w:pPr>
        <w:spacing w:after="0" w:line="184" w:lineRule="exact"/>
        <w:rPr>
          <w:sz w:val="20"/>
          <w:szCs w:val="20"/>
          <w:color w:val="auto"/>
        </w:rPr>
      </w:pPr>
    </w:p>
    <w:p>
      <w:pPr>
        <w:ind w:left="1300" w:right="120" w:hanging="320"/>
        <w:spacing w:after="0" w:line="277" w:lineRule="auto"/>
        <w:tabs>
          <w:tab w:leader="none" w:pos="12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8" w:lineRule="exact"/>
        <w:rPr>
          <w:rFonts w:ascii="Arial" w:cs="Arial" w:eastAsia="Arial" w:hAnsi="Arial"/>
          <w:sz w:val="18"/>
          <w:szCs w:val="18"/>
          <w:color w:val="auto"/>
        </w:rPr>
      </w:pPr>
    </w:p>
    <w:p>
      <w:pPr>
        <w:ind w:left="1300" w:right="80" w:hanging="320"/>
        <w:spacing w:after="0" w:line="286" w:lineRule="auto"/>
        <w:tabs>
          <w:tab w:leader="none" w:pos="12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interested stockholder becoming an interested stockholder, the interested stockholder owned at least 85% of our voting stock outstanding at the time the transaction commenced, excluding stock held by persons who are both directors and officers of our corporation or by certain employee stock plans; or</w:t>
      </w:r>
    </w:p>
    <w:p>
      <w:pPr>
        <w:spacing w:after="0" w:line="3" w:lineRule="exact"/>
        <w:rPr>
          <w:rFonts w:ascii="Arial" w:cs="Arial" w:eastAsia="Arial" w:hAnsi="Arial"/>
          <w:sz w:val="17"/>
          <w:szCs w:val="17"/>
          <w:color w:val="auto"/>
        </w:rPr>
      </w:pPr>
    </w:p>
    <w:p>
      <w:pPr>
        <w:ind w:left="1300" w:right="80" w:hanging="320"/>
        <w:spacing w:after="0" w:line="263" w:lineRule="auto"/>
        <w:tabs>
          <w:tab w:leader="none" w:pos="12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or following the date on which that person became an interested stockholder, the business combination is approved by our board of directors and authorized at a meeting of stockholders by the affirmative vote of the holders of at least 66 2/3% of our outstanding voting stock excluding shares held by the interested stockholder.</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An “interested stockholder” is generally a person owning 15% or more of our outstanding voting stock. A “business combination” includes mergers, asset sales and other transactions resulting in a financial benefit to the interested stockholder.</w:t>
      </w:r>
    </w:p>
    <w:p>
      <w:pPr>
        <w:sectPr>
          <w:pgSz w:w="11900" w:h="16838" w:orient="portrait"/>
          <w:cols w:equalWidth="0" w:num="1">
            <w:col w:w="11180"/>
          </w:cols>
          <w:pgMar w:left="320" w:top="1421" w:right="3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10.75</w:t>
      </w:r>
    </w:p>
    <w:p>
      <w:pPr>
        <w:spacing w:after="0" w:line="229" w:lineRule="exact"/>
        <w:rPr>
          <w:sz w:val="20"/>
          <w:szCs w:val="20"/>
          <w:color w:val="auto"/>
        </w:rPr>
      </w:pPr>
    </w:p>
    <w:p>
      <w:pPr>
        <w:ind w:left="2940" w:right="40" w:hanging="2890"/>
        <w:spacing w:after="0" w:line="258" w:lineRule="auto"/>
        <w:tabs>
          <w:tab w:leader="none" w:pos="491" w:val="left"/>
        </w:tabs>
        <w:numPr>
          <w:ilvl w:val="0"/>
          <w:numId w:val="76"/>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1" w:lineRule="exact"/>
        <w:rPr>
          <w:sz w:val="20"/>
          <w:szCs w:val="20"/>
          <w:color w:val="auto"/>
        </w:rPr>
      </w:pPr>
    </w:p>
    <w:p>
      <w:pPr>
        <w:ind w:left="8340"/>
        <w:spacing w:after="0"/>
        <w:rPr>
          <w:sz w:val="20"/>
          <w:szCs w:val="20"/>
          <w:color w:val="auto"/>
        </w:rPr>
      </w:pPr>
      <w:r>
        <w:rPr>
          <w:rFonts w:ascii="Arial" w:cs="Arial" w:eastAsia="Arial" w:hAnsi="Arial"/>
          <w:sz w:val="22"/>
          <w:szCs w:val="22"/>
          <w:b w:val="1"/>
          <w:bCs w:val="1"/>
          <w:color w:val="auto"/>
        </w:rPr>
        <w:t>PRIVATE &amp; CONFIDENTIAL</w:t>
      </w:r>
    </w:p>
    <w:p>
      <w:pPr>
        <w:spacing w:after="0" w:line="14" w:lineRule="exact"/>
        <w:rPr>
          <w:sz w:val="20"/>
          <w:szCs w:val="20"/>
          <w:color w:val="auto"/>
        </w:rPr>
      </w:pPr>
    </w:p>
    <w:p>
      <w:pPr>
        <w:ind w:left="8160"/>
        <w:spacing w:after="0"/>
        <w:rPr>
          <w:sz w:val="20"/>
          <w:szCs w:val="20"/>
          <w:color w:val="auto"/>
        </w:rPr>
      </w:pPr>
      <w:r>
        <w:rPr>
          <w:rFonts w:ascii="Arial" w:cs="Arial" w:eastAsia="Arial" w:hAnsi="Arial"/>
          <w:sz w:val="21"/>
          <w:szCs w:val="21"/>
          <w:b w:val="1"/>
          <w:bCs w:val="1"/>
          <w:color w:val="auto"/>
        </w:rPr>
        <w:t>ATTORNEY WORK PRODUCT</w:t>
      </w:r>
    </w:p>
    <w:p>
      <w:pPr>
        <w:spacing w:after="0" w:line="207" w:lineRule="exact"/>
        <w:rPr>
          <w:sz w:val="20"/>
          <w:szCs w:val="20"/>
          <w:color w:val="auto"/>
        </w:rPr>
      </w:pPr>
    </w:p>
    <w:p>
      <w:pPr>
        <w:ind w:left="6320"/>
        <w:spacing w:after="0"/>
        <w:rPr>
          <w:sz w:val="20"/>
          <w:szCs w:val="20"/>
          <w:color w:val="auto"/>
        </w:rPr>
      </w:pPr>
      <w:r>
        <w:rPr>
          <w:rFonts w:ascii="Arial" w:cs="Arial" w:eastAsia="Arial" w:hAnsi="Arial"/>
          <w:sz w:val="22"/>
          <w:szCs w:val="22"/>
          <w:b w:val="1"/>
          <w:bCs w:val="1"/>
          <w:color w:val="auto"/>
        </w:rPr>
        <w:t>SUBJECT TO CONFIDENTIALITY AGREEMENT</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PROTECTED FROM DISCLOSURE BY APPLICABLE PRIVILEGES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49" w:lineRule="auto"/>
        <w:rPr>
          <w:sz w:val="20"/>
          <w:szCs w:val="20"/>
          <w:color w:val="auto"/>
        </w:rPr>
      </w:pPr>
      <w:r>
        <w:rPr>
          <w:rFonts w:ascii="Arial" w:cs="Arial" w:eastAsia="Arial" w:hAnsi="Arial"/>
          <w:sz w:val="19"/>
          <w:szCs w:val="19"/>
          <w:b w:val="1"/>
          <w:bCs w:val="1"/>
          <w:color w:val="auto"/>
        </w:rPr>
        <w:t>This document contains protected attorney work product and discloses through its structure and terms the mental impressions of counsel. Access to this document is restricted by confidentiality agreement and professional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December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234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234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Capital Provision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234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3">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1234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Counterparty named in Annex I hereto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Capital Provider, as defined in the introductory paragraph hereof</w:t>
      </w:r>
    </w:p>
    <w:p>
      <w:pPr>
        <w:sectPr>
          <w:pgSz w:w="11900" w:h="16838" w:orient="portrait"/>
          <w:cols w:equalWidth="0" w:num="1">
            <w:col w:w="11240"/>
          </w:cols>
          <w:pgMar w:left="320" w:top="1417" w:right="339" w:bottom="1440" w:gutter="0" w:footer="0" w:header="0"/>
        </w:sectPr>
      </w:pPr>
    </w:p>
    <w:bookmarkStart w:id="142" w:name="page143"/>
    <w:bookmarkEnd w:id="142"/>
    <w:p>
      <w:pPr>
        <w:ind w:left="5020"/>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3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w:t>
        <w:tab/>
        <w:t>PAGE</w:t>
      </w:r>
    </w:p>
    <w:p>
      <w:pPr>
        <w:spacing w:after="0" w:line="200" w:lineRule="exact"/>
        <w:rPr>
          <w:sz w:val="20"/>
          <w:szCs w:val="20"/>
          <w:color w:val="auto"/>
        </w:rPr>
      </w:pPr>
    </w:p>
    <w:p>
      <w:pPr>
        <w:spacing w:after="0" w:line="296"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1.</w:t>
        </w:r>
      </w:hyperlink>
      <w:r>
        <w:rPr>
          <w:rFonts w:ascii="Arial" w:cs="Arial" w:eastAsia="Arial" w:hAnsi="Arial"/>
          <w:sz w:val="1"/>
          <w:szCs w:val="1"/>
          <w:color w:val="0000FF"/>
        </w:rPr>
        <w:drawing>
          <wp:inline distT="0" distB="0" distL="0" distR="0">
            <wp:extent cx="146050" cy="1371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5">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r>
      <w:hyperlink w:anchor="page144">
        <w:r>
          <w:rPr>
            <w:rFonts w:ascii="Arial" w:cs="Arial" w:eastAsia="Arial" w:hAnsi="Arial"/>
            <w:sz w:val="22"/>
            <w:szCs w:val="22"/>
            <w:color w:val="0000FF"/>
          </w:rPr>
          <w:t>Definitions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7569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6">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28"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2.</w:t>
        </w:r>
      </w:hyperlink>
      <w:r>
        <w:rPr>
          <w:rFonts w:ascii="Arial" w:cs="Arial" w:eastAsia="Arial" w:hAnsi="Arial"/>
          <w:sz w:val="1"/>
          <w:szCs w:val="1"/>
          <w:color w:val="0000FF"/>
        </w:rPr>
        <w:drawing>
          <wp:inline distT="0" distB="0" distL="0" distR="0">
            <wp:extent cx="146050" cy="1371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7">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r>
      <w:hyperlink w:anchor="page144">
        <w:r>
          <w:rPr>
            <w:rFonts w:ascii="Arial" w:cs="Arial" w:eastAsia="Arial" w:hAnsi="Arial"/>
            <w:sz w:val="22"/>
            <w:szCs w:val="22"/>
            <w:color w:val="0000FF"/>
          </w:rPr>
          <w:t>Capital Provision Obligations and Capital Provider’s Entitlement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37103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8">
                      <a:extLst>
                        <a:ext uri="{28A0092B-C50C-407E-A947-70E740481C1C}"/>
                      </a:extLst>
                    </a:blip>
                    <a:srcRect/>
                    <a:stretch>
                      <a:fillRect/>
                    </a:stretch>
                  </pic:blipFill>
                  <pic:spPr bwMode="auto">
                    <a:xfrm>
                      <a:off x="0" y="0"/>
                      <a:ext cx="3710305"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2.1</w:t>
        </w:r>
      </w:hyperlink>
      <w:r>
        <w:rPr>
          <w:rFonts w:ascii="Arial" w:cs="Arial" w:eastAsia="Arial" w:hAnsi="Arial"/>
          <w:sz w:val="1"/>
          <w:szCs w:val="1"/>
          <w:color w:val="0000FF"/>
        </w:rPr>
        <w:drawing>
          <wp:inline distT="0" distB="0" distL="0" distR="0">
            <wp:extent cx="145415" cy="1371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Capital Amount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10198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0">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2.2</w:t>
        </w:r>
      </w:hyperlink>
      <w:r>
        <w:rPr>
          <w:rFonts w:ascii="Arial" w:cs="Arial" w:eastAsia="Arial" w:hAnsi="Arial"/>
          <w:sz w:val="1"/>
          <w:szCs w:val="1"/>
          <w:color w:val="0000FF"/>
        </w:rPr>
        <w:drawing>
          <wp:inline distT="0" distB="0" distL="0" distR="0">
            <wp:extent cx="145415" cy="1371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Capital Provider’s Entitlement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18129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2">
                      <a:extLst>
                        <a:ext uri="{28A0092B-C50C-407E-A947-70E740481C1C}"/>
                      </a:extLst>
                    </a:blip>
                    <a:srcRect/>
                    <a:stretch>
                      <a:fillRect/>
                    </a:stretch>
                  </pic:blipFill>
                  <pic:spPr bwMode="auto">
                    <a:xfrm>
                      <a:off x="0" y="0"/>
                      <a:ext cx="1812925" cy="8890"/>
                    </a:xfrm>
                    <a:prstGeom prst="rect">
                      <a:avLst/>
                    </a:prstGeom>
                    <a:noFill/>
                  </pic:spPr>
                </pic:pic>
              </a:graphicData>
            </a:graphic>
          </wp:anchor>
        </w:drawing>
      </w:r>
    </w:p>
    <w:p>
      <w:pPr>
        <w:spacing w:after="0" w:line="28"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3.</w:t>
        </w:r>
      </w:hyperlink>
      <w:r>
        <w:rPr>
          <w:rFonts w:ascii="Arial" w:cs="Arial" w:eastAsia="Arial" w:hAnsi="Arial"/>
          <w:sz w:val="1"/>
          <w:szCs w:val="1"/>
          <w:color w:val="0000FF"/>
        </w:rPr>
        <w:drawing>
          <wp:inline distT="0" distB="0" distL="0" distR="0">
            <wp:extent cx="146050" cy="1371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3">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r>
      <w:hyperlink w:anchor="page144">
        <w:r>
          <w:rPr>
            <w:rFonts w:ascii="Arial" w:cs="Arial" w:eastAsia="Arial" w:hAnsi="Arial"/>
            <w:sz w:val="22"/>
            <w:szCs w:val="22"/>
            <w:color w:val="0000FF"/>
          </w:rPr>
          <w:t>Payment Obligations of the Counterparty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24022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4">
                      <a:extLst>
                        <a:ext uri="{28A0092B-C50C-407E-A947-70E740481C1C}"/>
                      </a:extLst>
                    </a:blip>
                    <a:srcRect/>
                    <a:stretch>
                      <a:fillRect/>
                    </a:stretch>
                  </pic:blipFill>
                  <pic:spPr bwMode="auto">
                    <a:xfrm>
                      <a:off x="0" y="0"/>
                      <a:ext cx="2402205"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3.1</w:t>
        </w:r>
      </w:hyperlink>
      <w:r>
        <w:rPr>
          <w:rFonts w:ascii="Arial" w:cs="Arial" w:eastAsia="Arial" w:hAnsi="Arial"/>
          <w:sz w:val="1"/>
          <w:szCs w:val="1"/>
          <w:color w:val="0000FF"/>
        </w:rPr>
        <w:drawing>
          <wp:inline distT="0" distB="0" distL="0" distR="0">
            <wp:extent cx="145415" cy="1371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Payments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6731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6">
                      <a:extLst>
                        <a:ext uri="{28A0092B-C50C-407E-A947-70E740481C1C}"/>
                      </a:extLst>
                    </a:blip>
                    <a:srcRect/>
                    <a:stretch>
                      <a:fillRect/>
                    </a:stretch>
                  </pic:blipFill>
                  <pic:spPr bwMode="auto">
                    <a:xfrm>
                      <a:off x="0" y="0"/>
                      <a:ext cx="673100" cy="8890"/>
                    </a:xfrm>
                    <a:prstGeom prst="rect">
                      <a:avLst/>
                    </a:prstGeom>
                    <a:noFill/>
                  </pic:spPr>
                </pic:pic>
              </a:graphicData>
            </a:graphic>
          </wp:anchor>
        </w:drawing>
      </w:r>
    </w:p>
    <w:p>
      <w:pPr>
        <w:spacing w:after="0" w:line="28"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4.</w:t>
        </w:r>
      </w:hyperlink>
      <w:r>
        <w:rPr>
          <w:rFonts w:ascii="Arial" w:cs="Arial" w:eastAsia="Arial" w:hAnsi="Arial"/>
          <w:sz w:val="1"/>
          <w:szCs w:val="1"/>
          <w:color w:val="0000FF"/>
        </w:rPr>
        <w:drawing>
          <wp:inline distT="0" distB="0" distL="0" distR="0">
            <wp:extent cx="146050" cy="1371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7">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r>
      <w:hyperlink w:anchor="page144">
        <w:r>
          <w:rPr>
            <w:rFonts w:ascii="Arial" w:cs="Arial" w:eastAsia="Arial" w:hAnsi="Arial"/>
            <w:sz w:val="22"/>
            <w:szCs w:val="22"/>
            <w:color w:val="0000FF"/>
          </w:rPr>
          <w:t>Covenants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7188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8">
                      <a:extLst>
                        <a:ext uri="{28A0092B-C50C-407E-A947-70E740481C1C}"/>
                      </a:extLst>
                    </a:blip>
                    <a:srcRect/>
                    <a:stretch>
                      <a:fillRect/>
                    </a:stretch>
                  </pic:blipFill>
                  <pic:spPr bwMode="auto">
                    <a:xfrm>
                      <a:off x="0" y="0"/>
                      <a:ext cx="718820"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4.1</w:t>
        </w:r>
      </w:hyperlink>
      <w:r>
        <w:rPr>
          <w:rFonts w:ascii="Arial" w:cs="Arial" w:eastAsia="Arial" w:hAnsi="Arial"/>
          <w:sz w:val="1"/>
          <w:szCs w:val="1"/>
          <w:color w:val="0000FF"/>
        </w:rPr>
        <w:drawing>
          <wp:inline distT="0" distB="0" distL="0" distR="0">
            <wp:extent cx="145415" cy="1371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Covenants of Each Party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14992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0">
                      <a:extLst>
                        <a:ext uri="{28A0092B-C50C-407E-A947-70E740481C1C}"/>
                      </a:extLst>
                    </a:blip>
                    <a:srcRect/>
                    <a:stretch>
                      <a:fillRect/>
                    </a:stretch>
                  </pic:blipFill>
                  <pic:spPr bwMode="auto">
                    <a:xfrm>
                      <a:off x="0" y="0"/>
                      <a:ext cx="1499235"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4.2</w:t>
        </w:r>
      </w:hyperlink>
      <w:r>
        <w:rPr>
          <w:rFonts w:ascii="Arial" w:cs="Arial" w:eastAsia="Arial" w:hAnsi="Arial"/>
          <w:sz w:val="1"/>
          <w:szCs w:val="1"/>
          <w:color w:val="0000FF"/>
        </w:rPr>
        <w:drawing>
          <wp:inline distT="0" distB="0" distL="0" distR="0">
            <wp:extent cx="145415" cy="1371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Covenants of the Counterparty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18268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4.3</w:t>
        </w:r>
      </w:hyperlink>
      <w:r>
        <w:rPr>
          <w:rFonts w:ascii="Arial" w:cs="Arial" w:eastAsia="Arial" w:hAnsi="Arial"/>
          <w:sz w:val="1"/>
          <w:szCs w:val="1"/>
          <w:color w:val="0000FF"/>
        </w:rPr>
        <w:drawing>
          <wp:inline distT="0" distB="0" distL="0" distR="0">
            <wp:extent cx="145415" cy="13716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3">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Enforcement and Collection of the Claim; Assignment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3133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4">
                      <a:extLst>
                        <a:ext uri="{28A0092B-C50C-407E-A947-70E740481C1C}"/>
                      </a:extLst>
                    </a:blip>
                    <a:srcRect/>
                    <a:stretch>
                      <a:fillRect/>
                    </a:stretch>
                  </pic:blipFill>
                  <pic:spPr bwMode="auto">
                    <a:xfrm>
                      <a:off x="0" y="0"/>
                      <a:ext cx="3133725" cy="8890"/>
                    </a:xfrm>
                    <a:prstGeom prst="rect">
                      <a:avLst/>
                    </a:prstGeom>
                    <a:noFill/>
                  </pic:spPr>
                </pic:pic>
              </a:graphicData>
            </a:graphic>
          </wp:anchor>
        </w:drawing>
      </w:r>
    </w:p>
    <w:p>
      <w:pPr>
        <w:spacing w:after="0" w:line="28"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5.</w:t>
        </w:r>
      </w:hyperlink>
      <w:r>
        <w:rPr>
          <w:rFonts w:ascii="Arial" w:cs="Arial" w:eastAsia="Arial" w:hAnsi="Arial"/>
          <w:sz w:val="1"/>
          <w:szCs w:val="1"/>
          <w:color w:val="0000FF"/>
        </w:rPr>
        <w:drawing>
          <wp:inline distT="0" distB="0" distL="0" distR="0">
            <wp:extent cx="146050" cy="13716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5">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r>
      <w:hyperlink w:anchor="page144">
        <w:r>
          <w:rPr>
            <w:rFonts w:ascii="Arial" w:cs="Arial" w:eastAsia="Arial" w:hAnsi="Arial"/>
            <w:sz w:val="22"/>
            <w:szCs w:val="22"/>
            <w:color w:val="0000FF"/>
          </w:rPr>
          <w:t>Representations and Warranties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18726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6">
                      <a:extLst>
                        <a:ext uri="{28A0092B-C50C-407E-A947-70E740481C1C}"/>
                      </a:extLst>
                    </a:blip>
                    <a:srcRect/>
                    <a:stretch>
                      <a:fillRect/>
                    </a:stretch>
                  </pic:blipFill>
                  <pic:spPr bwMode="auto">
                    <a:xfrm>
                      <a:off x="0" y="0"/>
                      <a:ext cx="1872615"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5.1</w:t>
        </w:r>
      </w:hyperlink>
      <w:r>
        <w:rPr>
          <w:rFonts w:ascii="Arial" w:cs="Arial" w:eastAsia="Arial" w:hAnsi="Arial"/>
          <w:sz w:val="1"/>
          <w:szCs w:val="1"/>
          <w:color w:val="0000FF"/>
        </w:rPr>
        <w:drawing>
          <wp:inline distT="0" distB="0" distL="0" distR="0">
            <wp:extent cx="145415" cy="13716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Representations and Warranties of Each Party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26536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8">
                      <a:extLst>
                        <a:ext uri="{28A0092B-C50C-407E-A947-70E740481C1C}"/>
                      </a:extLst>
                    </a:blip>
                    <a:srcRect/>
                    <a:stretch>
                      <a:fillRect/>
                    </a:stretch>
                  </pic:blipFill>
                  <pic:spPr bwMode="auto">
                    <a:xfrm>
                      <a:off x="0" y="0"/>
                      <a:ext cx="2653665"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5.2</w:t>
        </w:r>
      </w:hyperlink>
      <w:r>
        <w:rPr>
          <w:rFonts w:ascii="Arial" w:cs="Arial" w:eastAsia="Arial" w:hAnsi="Arial"/>
          <w:sz w:val="1"/>
          <w:szCs w:val="1"/>
          <w:color w:val="0000FF"/>
        </w:rPr>
        <w:drawing>
          <wp:inline distT="0" distB="0" distL="0" distR="0">
            <wp:extent cx="145415" cy="1371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Representations and Warranties of the Counterparty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2981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0">
                      <a:extLst>
                        <a:ext uri="{28A0092B-C50C-407E-A947-70E740481C1C}"/>
                      </a:extLst>
                    </a:blip>
                    <a:srcRect/>
                    <a:stretch>
                      <a:fillRect/>
                    </a:stretch>
                  </pic:blipFill>
                  <pic:spPr bwMode="auto">
                    <a:xfrm>
                      <a:off x="0" y="0"/>
                      <a:ext cx="2981325" cy="8255"/>
                    </a:xfrm>
                    <a:prstGeom prst="rect">
                      <a:avLst/>
                    </a:prstGeom>
                    <a:noFill/>
                  </pic:spPr>
                </pic:pic>
              </a:graphicData>
            </a:graphic>
          </wp:anchor>
        </w:drawing>
      </w:r>
    </w:p>
    <w:p>
      <w:pPr>
        <w:spacing w:after="0" w:line="28"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6.</w:t>
        </w:r>
      </w:hyperlink>
      <w:r>
        <w:rPr>
          <w:rFonts w:ascii="Arial" w:cs="Arial" w:eastAsia="Arial" w:hAnsi="Arial"/>
          <w:sz w:val="1"/>
          <w:szCs w:val="1"/>
          <w:color w:val="0000FF"/>
        </w:rPr>
        <w:drawing>
          <wp:inline distT="0" distB="0" distL="0" distR="0">
            <wp:extent cx="146050" cy="1371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1">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r>
      <w:hyperlink w:anchor="page144">
        <w:r>
          <w:rPr>
            <w:rFonts w:ascii="Arial" w:cs="Arial" w:eastAsia="Arial" w:hAnsi="Arial"/>
            <w:sz w:val="22"/>
            <w:szCs w:val="22"/>
            <w:color w:val="0000FF"/>
          </w:rPr>
          <w:t>Grant of Security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10915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2">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28"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7.</w:t>
        </w:r>
      </w:hyperlink>
      <w:r>
        <w:rPr>
          <w:rFonts w:ascii="Arial" w:cs="Arial" w:eastAsia="Arial" w:hAnsi="Arial"/>
          <w:sz w:val="1"/>
          <w:szCs w:val="1"/>
          <w:color w:val="0000FF"/>
        </w:rPr>
        <w:drawing>
          <wp:inline distT="0" distB="0" distL="0" distR="0">
            <wp:extent cx="146050" cy="1371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3">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r>
      <w:hyperlink w:anchor="page144">
        <w:r>
          <w:rPr>
            <w:rFonts w:ascii="Arial" w:cs="Arial" w:eastAsia="Arial" w:hAnsi="Arial"/>
            <w:sz w:val="22"/>
            <w:szCs w:val="22"/>
            <w:color w:val="0000FF"/>
          </w:rPr>
          <w:t>Confidentiality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9702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4">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7.1</w:t>
        </w:r>
      </w:hyperlink>
      <w:r>
        <w:rPr>
          <w:rFonts w:ascii="Arial" w:cs="Arial" w:eastAsia="Arial" w:hAnsi="Arial"/>
          <w:sz w:val="1"/>
          <w:szCs w:val="1"/>
          <w:color w:val="0000FF"/>
        </w:rPr>
        <w:drawing>
          <wp:inline distT="0" distB="0" distL="0" distR="0">
            <wp:extent cx="145415" cy="1371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Exclusive Ownership of Information by Disclosing Party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32708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6">
                      <a:extLst>
                        <a:ext uri="{28A0092B-C50C-407E-A947-70E740481C1C}"/>
                      </a:extLst>
                    </a:blip>
                    <a:srcRect/>
                    <a:stretch>
                      <a:fillRect/>
                    </a:stretch>
                  </pic:blipFill>
                  <pic:spPr bwMode="auto">
                    <a:xfrm>
                      <a:off x="0" y="0"/>
                      <a:ext cx="3270885"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7.2</w:t>
        </w:r>
      </w:hyperlink>
      <w:r>
        <w:rPr>
          <w:rFonts w:ascii="Arial" w:cs="Arial" w:eastAsia="Arial" w:hAnsi="Arial"/>
          <w:sz w:val="1"/>
          <w:szCs w:val="1"/>
          <w:color w:val="0000FF"/>
        </w:rPr>
        <w:drawing>
          <wp:inline distT="0" distB="0" distL="0" distR="0">
            <wp:extent cx="145415" cy="1371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Non-Disclosure of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18459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8">
                      <a:extLst>
                        <a:ext uri="{28A0092B-C50C-407E-A947-70E740481C1C}"/>
                      </a:extLst>
                    </a:blip>
                    <a:srcRect/>
                    <a:stretch>
                      <a:fillRect/>
                    </a:stretch>
                  </pic:blipFill>
                  <pic:spPr bwMode="auto">
                    <a:xfrm>
                      <a:off x="0" y="0"/>
                      <a:ext cx="1845945"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7.3</w:t>
        </w:r>
      </w:hyperlink>
      <w:r>
        <w:rPr>
          <w:rFonts w:ascii="Arial" w:cs="Arial" w:eastAsia="Arial" w:hAnsi="Arial"/>
          <w:sz w:val="1"/>
          <w:szCs w:val="1"/>
          <w:color w:val="0000FF"/>
        </w:rPr>
        <w:drawing>
          <wp:inline distT="0" distB="0" distL="0" distR="0">
            <wp:extent cx="145415" cy="1371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Confidentiality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16135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0">
                      <a:extLst>
                        <a:ext uri="{28A0092B-C50C-407E-A947-70E740481C1C}"/>
                      </a:extLst>
                    </a:blip>
                    <a:srcRect/>
                    <a:stretch>
                      <a:fillRect/>
                    </a:stretch>
                  </pic:blipFill>
                  <pic:spPr bwMode="auto">
                    <a:xfrm>
                      <a:off x="0" y="0"/>
                      <a:ext cx="1613535"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7.4</w:t>
        </w:r>
      </w:hyperlink>
      <w:r>
        <w:rPr>
          <w:rFonts w:ascii="Arial" w:cs="Arial" w:eastAsia="Arial" w:hAnsi="Arial"/>
          <w:sz w:val="1"/>
          <w:szCs w:val="1"/>
          <w:color w:val="0000FF"/>
        </w:rPr>
        <w:drawing>
          <wp:inline distT="0" distB="0" distL="0" distR="0">
            <wp:extent cx="145415" cy="1371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Judicial and Official Disclosure Requests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24072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2">
                      <a:extLst>
                        <a:ext uri="{28A0092B-C50C-407E-A947-70E740481C1C}"/>
                      </a:extLst>
                    </a:blip>
                    <a:srcRect/>
                    <a:stretch>
                      <a:fillRect/>
                    </a:stretch>
                  </pic:blipFill>
                  <pic:spPr bwMode="auto">
                    <a:xfrm>
                      <a:off x="0" y="0"/>
                      <a:ext cx="2407285" cy="8255"/>
                    </a:xfrm>
                    <a:prstGeom prst="rect">
                      <a:avLst/>
                    </a:prstGeom>
                    <a:noFill/>
                  </pic:spPr>
                </pic:pic>
              </a:graphicData>
            </a:graphic>
          </wp:anchor>
        </w:drawing>
      </w:r>
    </w:p>
    <w:p>
      <w:pPr>
        <w:spacing w:after="0" w:line="28"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8.</w:t>
        </w:r>
      </w:hyperlink>
      <w:r>
        <w:rPr>
          <w:rFonts w:ascii="Arial" w:cs="Arial" w:eastAsia="Arial" w:hAnsi="Arial"/>
          <w:sz w:val="1"/>
          <w:szCs w:val="1"/>
          <w:color w:val="0000FF"/>
        </w:rPr>
        <w:drawing>
          <wp:inline distT="0" distB="0" distL="0" distR="0">
            <wp:extent cx="146050" cy="1371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3">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r>
      <w:hyperlink w:anchor="page144">
        <w:r>
          <w:rPr>
            <w:rFonts w:ascii="Arial" w:cs="Arial" w:eastAsia="Arial" w:hAnsi="Arial"/>
            <w:sz w:val="22"/>
            <w:szCs w:val="22"/>
            <w:color w:val="0000FF"/>
          </w:rPr>
          <w:t>Legal Privilege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9810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4">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8.1</w:t>
        </w:r>
      </w:hyperlink>
      <w:r>
        <w:rPr>
          <w:rFonts w:ascii="Arial" w:cs="Arial" w:eastAsia="Arial" w:hAnsi="Arial"/>
          <w:sz w:val="1"/>
          <w:szCs w:val="1"/>
          <w:color w:val="0000FF"/>
        </w:rPr>
        <w:drawing>
          <wp:inline distT="0" distB="0" distL="0" distR="0">
            <wp:extent cx="145415" cy="1371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Common Interest Privilege Applies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20859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6">
                      <a:extLst>
                        <a:ext uri="{28A0092B-C50C-407E-A947-70E740481C1C}"/>
                      </a:extLst>
                    </a:blip>
                    <a:srcRect/>
                    <a:stretch>
                      <a:fillRect/>
                    </a:stretch>
                  </pic:blipFill>
                  <pic:spPr bwMode="auto">
                    <a:xfrm>
                      <a:off x="0" y="0"/>
                      <a:ext cx="2085975" cy="8255"/>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8.2</w:t>
        </w:r>
      </w:hyperlink>
      <w:r>
        <w:rPr>
          <w:rFonts w:ascii="Arial" w:cs="Arial" w:eastAsia="Arial" w:hAnsi="Arial"/>
          <w:sz w:val="1"/>
          <w:szCs w:val="1"/>
          <w:color w:val="0000FF"/>
        </w:rPr>
        <w:drawing>
          <wp:inline distT="0" distB="0" distL="0" distR="0">
            <wp:extent cx="145415" cy="1371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Information Subject to Privilege Protection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25088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8">
                      <a:extLst>
                        <a:ext uri="{28A0092B-C50C-407E-A947-70E740481C1C}"/>
                      </a:extLst>
                    </a:blip>
                    <a:srcRect/>
                    <a:stretch>
                      <a:fillRect/>
                    </a:stretch>
                  </pic:blipFill>
                  <pic:spPr bwMode="auto">
                    <a:xfrm>
                      <a:off x="0" y="0"/>
                      <a:ext cx="2508885" cy="8255"/>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8.3</w:t>
        </w:r>
      </w:hyperlink>
      <w:r>
        <w:rPr>
          <w:rFonts w:ascii="Arial" w:cs="Arial" w:eastAsia="Arial" w:hAnsi="Arial"/>
          <w:sz w:val="1"/>
          <w:szCs w:val="1"/>
          <w:color w:val="0000FF"/>
        </w:rPr>
        <w:drawing>
          <wp:inline distT="0" distB="0" distL="0" distR="0">
            <wp:extent cx="145415" cy="1371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Information Subject to Work Product Protection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27762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0">
                      <a:extLst>
                        <a:ext uri="{28A0092B-C50C-407E-A947-70E740481C1C}"/>
                      </a:extLst>
                    </a:blip>
                    <a:srcRect/>
                    <a:stretch>
                      <a:fillRect/>
                    </a:stretch>
                  </pic:blipFill>
                  <pic:spPr bwMode="auto">
                    <a:xfrm>
                      <a:off x="0" y="0"/>
                      <a:ext cx="2776220" cy="8890"/>
                    </a:xfrm>
                    <a:prstGeom prst="rect">
                      <a:avLst/>
                    </a:prstGeom>
                    <a:noFill/>
                  </pic:spPr>
                </pic:pic>
              </a:graphicData>
            </a:graphic>
          </wp:anchor>
        </w:drawing>
      </w:r>
    </w:p>
    <w:p>
      <w:pPr>
        <w:spacing w:after="0" w:line="28" w:lineRule="exact"/>
        <w:rPr>
          <w:sz w:val="20"/>
          <w:szCs w:val="20"/>
          <w:color w:val="auto"/>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8.4</w:t>
        </w:r>
      </w:hyperlink>
      <w:r>
        <w:rPr>
          <w:rFonts w:ascii="Arial" w:cs="Arial" w:eastAsia="Arial" w:hAnsi="Arial"/>
          <w:sz w:val="1"/>
          <w:szCs w:val="1"/>
          <w:color w:val="0000FF"/>
        </w:rPr>
        <w:drawing>
          <wp:inline distT="0" distB="0" distL="0" distR="0">
            <wp:extent cx="145415" cy="1371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No Obligation to Provide Privileged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-24130</wp:posOffset>
            </wp:positionV>
            <wp:extent cx="28174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2">
                      <a:extLst>
                        <a:ext uri="{28A0092B-C50C-407E-A947-70E740481C1C}"/>
                      </a:extLst>
                    </a:blip>
                    <a:srcRect/>
                    <a:stretch>
                      <a:fillRect/>
                    </a:stretch>
                  </pic:blipFill>
                  <pic:spPr bwMode="auto">
                    <a:xfrm>
                      <a:off x="0" y="0"/>
                      <a:ext cx="2817495" cy="8890"/>
                    </a:xfrm>
                    <a:prstGeom prst="rect">
                      <a:avLst/>
                    </a:prstGeom>
                    <a:noFill/>
                  </pic:spPr>
                </pic:pic>
              </a:graphicData>
            </a:graphic>
          </wp:anchor>
        </w:drawing>
      </w:r>
    </w:p>
    <w:p>
      <w:pPr>
        <w:spacing w:after="0" w:line="28"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9.</w:t>
        </w:r>
      </w:hyperlink>
      <w:r>
        <w:rPr>
          <w:rFonts w:ascii="Arial" w:cs="Arial" w:eastAsia="Arial" w:hAnsi="Arial"/>
          <w:sz w:val="1"/>
          <w:szCs w:val="1"/>
          <w:color w:val="0000FF"/>
        </w:rPr>
        <w:drawing>
          <wp:inline distT="0" distB="0" distL="0" distR="0">
            <wp:extent cx="146050" cy="1371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3">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r>
      <w:hyperlink w:anchor="page144">
        <w:r>
          <w:rPr>
            <w:rFonts w:ascii="Arial" w:cs="Arial" w:eastAsia="Arial" w:hAnsi="Arial"/>
            <w:sz w:val="22"/>
            <w:szCs w:val="22"/>
            <w:color w:val="0000FF"/>
          </w:rPr>
          <w:t>Indemnification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-24130</wp:posOffset>
            </wp:positionV>
            <wp:extent cx="10153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4">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spacing w:after="0" w:line="28" w:lineRule="exact"/>
        <w:rPr>
          <w:sz w:val="20"/>
          <w:szCs w:val="20"/>
          <w:color w:val="auto"/>
        </w:rPr>
      </w:pPr>
    </w:p>
    <w:p>
      <w:pPr>
        <w:ind w:left="2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10.</w:t>
        </w:r>
      </w:hyperlink>
      <w:r>
        <w:rPr>
          <w:rFonts w:ascii="Arial" w:cs="Arial" w:eastAsia="Arial" w:hAnsi="Arial"/>
          <w:sz w:val="1"/>
          <w:szCs w:val="1"/>
          <w:color w:val="0000FF"/>
        </w:rPr>
        <w:drawing>
          <wp:inline distT="0" distB="0" distL="0" distR="0">
            <wp:extent cx="145415" cy="1371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5">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Exculpation; Reinstatement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-24130</wp:posOffset>
            </wp:positionV>
            <wp:extent cx="1659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6">
                      <a:extLst>
                        <a:ext uri="{28A0092B-C50C-407E-A947-70E740481C1C}"/>
                      </a:extLst>
                    </a:blip>
                    <a:srcRect/>
                    <a:stretch>
                      <a:fillRect/>
                    </a:stretch>
                  </pic:blipFill>
                  <pic:spPr bwMode="auto">
                    <a:xfrm>
                      <a:off x="0" y="0"/>
                      <a:ext cx="1659255" cy="8255"/>
                    </a:xfrm>
                    <a:prstGeom prst="rect">
                      <a:avLst/>
                    </a:prstGeom>
                    <a:noFill/>
                  </pic:spPr>
                </pic:pic>
              </a:graphicData>
            </a:graphic>
          </wp:anchor>
        </w:drawing>
      </w:r>
    </w:p>
    <w:p>
      <w:pPr>
        <w:spacing w:after="0" w:line="28" w:lineRule="exact"/>
        <w:rPr>
          <w:sz w:val="20"/>
          <w:szCs w:val="20"/>
          <w:color w:val="auto"/>
        </w:rPr>
      </w:pPr>
    </w:p>
    <w:p>
      <w:pPr>
        <w:ind w:left="500" w:hanging="474"/>
        <w:spacing w:after="0"/>
        <w:tabs>
          <w:tab w:leader="none" w:pos="500" w:val="left"/>
        </w:tabs>
        <w:numPr>
          <w:ilvl w:val="0"/>
          <w:numId w:val="77"/>
        </w:numPr>
        <w:rPr>
          <w:rFonts w:ascii="Arial" w:cs="Arial" w:eastAsia="Arial" w:hAnsi="Arial"/>
          <w:sz w:val="19"/>
          <w:szCs w:val="19"/>
          <w:u w:val="single" w:color="auto"/>
          <w:color w:val="0000FF"/>
          <w:highlight w:val="white"/>
        </w:rPr>
      </w:pPr>
      <w:hyperlink w:anchor="page144">
        <w:r>
          <w:rPr>
            <w:rFonts w:ascii="Arial" w:cs="Arial" w:eastAsia="Arial" w:hAnsi="Arial"/>
            <w:sz w:val="19"/>
            <w:szCs w:val="19"/>
            <w:u w:val="single" w:color="auto"/>
            <w:color w:val="0000FF"/>
            <w:highlight w:val="white"/>
          </w:rPr>
          <w:t>Limitations on Transfer, Successors and Assigns; Third Party Beneficiaries</w:t>
        </w:r>
      </w:hyperlink>
    </w:p>
    <w:p>
      <w:pPr>
        <w:spacing w:after="0" w:line="92" w:lineRule="exact"/>
        <w:rPr>
          <w:rFonts w:ascii="Arial" w:cs="Arial" w:eastAsia="Arial" w:hAnsi="Arial"/>
          <w:sz w:val="19"/>
          <w:szCs w:val="19"/>
          <w:u w:val="single" w:color="auto"/>
          <w:color w:val="0000FF"/>
          <w:highlight w:val="white"/>
        </w:rPr>
      </w:pPr>
    </w:p>
    <w:p>
      <w:pPr>
        <w:ind w:left="300" w:hanging="274"/>
        <w:spacing w:after="0"/>
        <w:tabs>
          <w:tab w:leader="none" w:pos="300" w:val="left"/>
        </w:tabs>
        <w:numPr>
          <w:ilvl w:val="0"/>
          <w:numId w:val="77"/>
        </w:numPr>
        <w:rPr>
          <w:rFonts w:ascii="Arial" w:cs="Arial" w:eastAsia="Arial" w:hAnsi="Arial"/>
          <w:sz w:val="19"/>
          <w:szCs w:val="19"/>
          <w:color w:val="0000FF"/>
        </w:rPr>
      </w:pPr>
      <w:r>
        <w:rPr>
          <w:rFonts w:ascii="Arial" w:cs="Arial" w:eastAsia="Arial" w:hAnsi="Arial"/>
          <w:sz w:val="1"/>
          <w:szCs w:val="1"/>
          <w:u w:val="single" w:color="auto"/>
          <w:color w:val="0000FF"/>
        </w:rPr>
        <w:drawing>
          <wp:inline distT="0" distB="0" distL="0" distR="0">
            <wp:extent cx="145415" cy="1371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7">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19"/>
            <w:szCs w:val="19"/>
            <w:color w:val="0000FF"/>
          </w:rPr>
          <w:t>Tax Withholding</w:t>
        </w:r>
      </w:hyperlink>
    </w:p>
    <w:p>
      <w:pPr>
        <w:spacing w:after="0" w:line="54" w:lineRule="exact"/>
        <w:rPr>
          <w:rFonts w:ascii="Arial" w:cs="Arial" w:eastAsia="Arial" w:hAnsi="Arial"/>
          <w:sz w:val="19"/>
          <w:szCs w:val="19"/>
          <w:color w:val="0000FF"/>
        </w:rPr>
      </w:pPr>
    </w:p>
    <w:p>
      <w:pPr>
        <w:ind w:left="300" w:hanging="274"/>
        <w:spacing w:after="0"/>
        <w:tabs>
          <w:tab w:leader="none" w:pos="300" w:val="left"/>
        </w:tabs>
        <w:numPr>
          <w:ilvl w:val="0"/>
          <w:numId w:val="77"/>
        </w:numPr>
        <w:rPr>
          <w:rFonts w:ascii="Arial" w:cs="Arial" w:eastAsia="Arial" w:hAnsi="Arial"/>
          <w:sz w:val="19"/>
          <w:szCs w:val="19"/>
          <w:color w:val="0000FF"/>
        </w:rPr>
      </w:pPr>
      <w:r>
        <w:rPr>
          <w:rFonts w:ascii="Arial" w:cs="Arial" w:eastAsia="Arial" w:hAnsi="Arial"/>
          <w:sz w:val="1"/>
          <w:szCs w:val="1"/>
          <w:u w:val="single" w:color="auto"/>
          <w:color w:val="0000FF"/>
        </w:rPr>
        <w:drawing>
          <wp:inline distT="0" distB="0" distL="0" distR="0">
            <wp:extent cx="145415" cy="1371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8">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19"/>
            <w:szCs w:val="19"/>
            <w:color w:val="0000FF"/>
          </w:rPr>
          <w:t>Anti-Corruption; Data Protection</w:t>
        </w:r>
      </w:hyperlink>
    </w:p>
    <w:p>
      <w:pPr>
        <w:spacing w:after="0" w:line="54" w:lineRule="exact"/>
        <w:rPr>
          <w:rFonts w:ascii="Arial" w:cs="Arial" w:eastAsia="Arial" w:hAnsi="Arial"/>
          <w:sz w:val="19"/>
          <w:szCs w:val="19"/>
          <w:color w:val="0000FF"/>
        </w:rPr>
      </w:pPr>
    </w:p>
    <w:p>
      <w:pPr>
        <w:ind w:left="300" w:hanging="274"/>
        <w:spacing w:after="0"/>
        <w:tabs>
          <w:tab w:leader="none" w:pos="300" w:val="left"/>
        </w:tabs>
        <w:numPr>
          <w:ilvl w:val="0"/>
          <w:numId w:val="77"/>
        </w:numPr>
        <w:rPr>
          <w:rFonts w:ascii="Arial" w:cs="Arial" w:eastAsia="Arial" w:hAnsi="Arial"/>
          <w:sz w:val="19"/>
          <w:szCs w:val="19"/>
          <w:color w:val="0000FF"/>
        </w:rPr>
      </w:pPr>
      <w:r>
        <w:rPr>
          <w:rFonts w:ascii="Arial" w:cs="Arial" w:eastAsia="Arial" w:hAnsi="Arial"/>
          <w:sz w:val="1"/>
          <w:szCs w:val="1"/>
          <w:u w:val="single" w:color="auto"/>
          <w:color w:val="0000FF"/>
        </w:rPr>
        <w:drawing>
          <wp:inline distT="0" distB="0" distL="0" distR="0">
            <wp:extent cx="145415" cy="1371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9">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19"/>
            <w:szCs w:val="19"/>
            <w:color w:val="0000FF"/>
          </w:rPr>
          <w:t>Notices</w:t>
        </w:r>
      </w:hyperlink>
    </w:p>
    <w:p>
      <w:pPr>
        <w:spacing w:after="0" w:line="54" w:lineRule="exact"/>
        <w:rPr>
          <w:rFonts w:ascii="Arial" w:cs="Arial" w:eastAsia="Arial" w:hAnsi="Arial"/>
          <w:sz w:val="19"/>
          <w:szCs w:val="19"/>
          <w:color w:val="0000FF"/>
        </w:rPr>
      </w:pPr>
    </w:p>
    <w:p>
      <w:pPr>
        <w:ind w:left="240"/>
        <w:spacing w:after="0"/>
        <w:rPr>
          <w:rFonts w:ascii="Arial" w:cs="Arial" w:eastAsia="Arial" w:hAnsi="Arial"/>
          <w:sz w:val="22"/>
          <w:szCs w:val="22"/>
          <w:color w:val="0000FF"/>
        </w:rPr>
      </w:pPr>
      <w:hyperlink w:anchor="page144">
        <w:r>
          <w:rPr>
            <w:rFonts w:ascii="Arial" w:cs="Arial" w:eastAsia="Arial" w:hAnsi="Arial"/>
            <w:sz w:val="22"/>
            <w:szCs w:val="22"/>
            <w:u w:val="single" w:color="auto"/>
            <w:color w:val="0000FF"/>
          </w:rPr>
          <w:t>14.1</w:t>
        </w:r>
      </w:hyperlink>
      <w:r>
        <w:rPr>
          <w:rFonts w:ascii="Arial" w:cs="Arial" w:eastAsia="Arial" w:hAnsi="Arial"/>
          <w:sz w:val="1"/>
          <w:szCs w:val="1"/>
          <w:color w:val="0000FF"/>
        </w:rPr>
        <w:drawing>
          <wp:inline distT="0" distB="0" distL="0" distR="0">
            <wp:extent cx="145415" cy="13716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0">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22"/>
            <w:szCs w:val="22"/>
            <w:color w:val="0000FF"/>
          </w:rPr>
          <w:t>Effectiveness of Notices</w:t>
        </w:r>
      </w:hyperlink>
    </w:p>
    <w:p>
      <w:pPr>
        <w:spacing w:after="0" w:line="47" w:lineRule="exact"/>
        <w:rPr>
          <w:rFonts w:ascii="Arial" w:cs="Arial" w:eastAsia="Arial" w:hAnsi="Arial"/>
          <w:sz w:val="22"/>
          <w:szCs w:val="22"/>
          <w:color w:val="0000FF"/>
        </w:rPr>
      </w:pPr>
    </w:p>
    <w:p>
      <w:pPr>
        <w:ind w:left="300" w:hanging="274"/>
        <w:spacing w:after="0"/>
        <w:tabs>
          <w:tab w:leader="none" w:pos="300" w:val="left"/>
        </w:tabs>
        <w:numPr>
          <w:ilvl w:val="0"/>
          <w:numId w:val="77"/>
        </w:numPr>
        <w:rPr>
          <w:rFonts w:ascii="Arial" w:cs="Arial" w:eastAsia="Arial" w:hAnsi="Arial"/>
          <w:sz w:val="19"/>
          <w:szCs w:val="19"/>
          <w:color w:val="0000FF"/>
        </w:rPr>
      </w:pPr>
      <w:r>
        <w:rPr>
          <w:rFonts w:ascii="Arial" w:cs="Arial" w:eastAsia="Arial" w:hAnsi="Arial"/>
          <w:sz w:val="1"/>
          <w:szCs w:val="1"/>
          <w:u w:val="single" w:color="auto"/>
          <w:color w:val="0000FF"/>
        </w:rPr>
        <w:drawing>
          <wp:inline distT="0" distB="0" distL="0" distR="0">
            <wp:extent cx="145415" cy="1371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1">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19"/>
            <w:szCs w:val="19"/>
            <w:color w:val="0000FF"/>
          </w:rPr>
          <w:t>Amendments</w:t>
        </w:r>
      </w:hyperlink>
    </w:p>
    <w:p>
      <w:pPr>
        <w:spacing w:after="0" w:line="54" w:lineRule="exact"/>
        <w:rPr>
          <w:rFonts w:ascii="Arial" w:cs="Arial" w:eastAsia="Arial" w:hAnsi="Arial"/>
          <w:sz w:val="19"/>
          <w:szCs w:val="19"/>
          <w:color w:val="0000FF"/>
        </w:rPr>
      </w:pPr>
    </w:p>
    <w:p>
      <w:pPr>
        <w:ind w:left="300" w:hanging="274"/>
        <w:spacing w:after="0"/>
        <w:tabs>
          <w:tab w:leader="none" w:pos="300" w:val="left"/>
        </w:tabs>
        <w:numPr>
          <w:ilvl w:val="0"/>
          <w:numId w:val="77"/>
        </w:numPr>
        <w:rPr>
          <w:rFonts w:ascii="Arial" w:cs="Arial" w:eastAsia="Arial" w:hAnsi="Arial"/>
          <w:sz w:val="19"/>
          <w:szCs w:val="19"/>
          <w:color w:val="0000FF"/>
        </w:rPr>
      </w:pPr>
      <w:r>
        <w:rPr>
          <w:rFonts w:ascii="Arial" w:cs="Arial" w:eastAsia="Arial" w:hAnsi="Arial"/>
          <w:sz w:val="1"/>
          <w:szCs w:val="1"/>
          <w:u w:val="single" w:color="auto"/>
          <w:color w:val="0000FF"/>
        </w:rPr>
        <w:drawing>
          <wp:inline distT="0" distB="0" distL="0" distR="0">
            <wp:extent cx="145415" cy="1371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2">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19"/>
            <w:szCs w:val="19"/>
            <w:color w:val="0000FF"/>
          </w:rPr>
          <w:t>Entire Agreement</w:t>
        </w:r>
      </w:hyperlink>
    </w:p>
    <w:p>
      <w:pPr>
        <w:spacing w:after="0" w:line="54" w:lineRule="exact"/>
        <w:rPr>
          <w:rFonts w:ascii="Arial" w:cs="Arial" w:eastAsia="Arial" w:hAnsi="Arial"/>
          <w:sz w:val="19"/>
          <w:szCs w:val="19"/>
          <w:color w:val="0000FF"/>
        </w:rPr>
      </w:pPr>
    </w:p>
    <w:p>
      <w:pPr>
        <w:ind w:left="300" w:hanging="274"/>
        <w:spacing w:after="0"/>
        <w:tabs>
          <w:tab w:leader="none" w:pos="300" w:val="left"/>
        </w:tabs>
        <w:numPr>
          <w:ilvl w:val="0"/>
          <w:numId w:val="77"/>
        </w:numPr>
        <w:rPr>
          <w:rFonts w:ascii="Arial" w:cs="Arial" w:eastAsia="Arial" w:hAnsi="Arial"/>
          <w:sz w:val="19"/>
          <w:szCs w:val="19"/>
          <w:color w:val="0000FF"/>
        </w:rPr>
      </w:pPr>
      <w:r>
        <w:rPr>
          <w:rFonts w:ascii="Arial" w:cs="Arial" w:eastAsia="Arial" w:hAnsi="Arial"/>
          <w:sz w:val="1"/>
          <w:szCs w:val="1"/>
          <w:u w:val="single" w:color="auto"/>
          <w:color w:val="0000FF"/>
        </w:rPr>
        <w:drawing>
          <wp:inline distT="0" distB="0" distL="0" distR="0">
            <wp:extent cx="145415" cy="1371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3">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19"/>
            <w:szCs w:val="19"/>
            <w:color w:val="0000FF"/>
          </w:rPr>
          <w:t>Counterparts</w:t>
        </w:r>
      </w:hyperlink>
    </w:p>
    <w:p>
      <w:pPr>
        <w:spacing w:after="0" w:line="54" w:lineRule="exact"/>
        <w:rPr>
          <w:rFonts w:ascii="Arial" w:cs="Arial" w:eastAsia="Arial" w:hAnsi="Arial"/>
          <w:sz w:val="19"/>
          <w:szCs w:val="19"/>
          <w:color w:val="0000FF"/>
        </w:rPr>
      </w:pPr>
    </w:p>
    <w:p>
      <w:pPr>
        <w:ind w:left="300" w:hanging="274"/>
        <w:spacing w:after="0"/>
        <w:tabs>
          <w:tab w:leader="none" w:pos="300" w:val="left"/>
        </w:tabs>
        <w:numPr>
          <w:ilvl w:val="0"/>
          <w:numId w:val="77"/>
        </w:numPr>
        <w:rPr>
          <w:rFonts w:ascii="Arial" w:cs="Arial" w:eastAsia="Arial" w:hAnsi="Arial"/>
          <w:sz w:val="19"/>
          <w:szCs w:val="19"/>
          <w:color w:val="0000FF"/>
        </w:rPr>
      </w:pPr>
      <w:r>
        <w:rPr>
          <w:rFonts w:ascii="Arial" w:cs="Arial" w:eastAsia="Arial" w:hAnsi="Arial"/>
          <w:sz w:val="1"/>
          <w:szCs w:val="1"/>
          <w:u w:val="single" w:color="auto"/>
          <w:color w:val="0000FF"/>
        </w:rPr>
        <w:drawing>
          <wp:inline distT="0" distB="0" distL="0" distR="0">
            <wp:extent cx="145415" cy="1371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4">
                      <a:extLst>
                        <a:ext uri="{28A0092B-C50C-407E-A947-70E740481C1C}"/>
                      </a:extLst>
                    </a:blip>
                    <a:srcRect/>
                    <a:stretch>
                      <a:fillRect/>
                    </a:stretch>
                  </pic:blipFill>
                  <pic:spPr bwMode="auto">
                    <a:xfrm>
                      <a:off x="0" y="0"/>
                      <a:ext cx="145415" cy="137160"/>
                    </a:xfrm>
                    <a:prstGeom prst="rect">
                      <a:avLst/>
                    </a:prstGeom>
                    <a:noFill/>
                    <a:ln>
                      <a:noFill/>
                    </a:ln>
                  </pic:spPr>
                </pic:pic>
              </a:graphicData>
            </a:graphic>
          </wp:inline>
        </w:drawing>
      </w:r>
      <w:hyperlink w:anchor="page144">
        <w:r>
          <w:rPr>
            <w:rFonts w:ascii="Arial" w:cs="Arial" w:eastAsia="Arial" w:hAnsi="Arial"/>
            <w:sz w:val="19"/>
            <w:szCs w:val="19"/>
            <w:color w:val="0000FF"/>
          </w:rPr>
          <w:t>Survival of Obligations</w:t>
        </w:r>
      </w:hyperlink>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16510</wp:posOffset>
            </wp:positionH>
            <wp:positionV relativeFrom="paragraph">
              <wp:posOffset>-1597025</wp:posOffset>
            </wp:positionV>
            <wp:extent cx="3060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5">
                      <a:extLst>
                        <a:ext uri="{28A0092B-C50C-407E-A947-70E740481C1C}"/>
                      </a:extLst>
                    </a:blip>
                    <a:srcRect/>
                    <a:stretch>
                      <a:fillRect/>
                    </a:stretch>
                  </pic:blipFill>
                  <pic:spPr bwMode="auto">
                    <a:xfrm>
                      <a:off x="0" y="0"/>
                      <a:ext cx="306070"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-1400175</wp:posOffset>
            </wp:positionV>
            <wp:extent cx="10655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6">
                      <a:extLst>
                        <a:ext uri="{28A0092B-C50C-407E-A947-70E740481C1C}"/>
                      </a:extLst>
                    </a:blip>
                    <a:srcRect/>
                    <a:stretch>
                      <a:fillRect/>
                    </a:stretch>
                  </pic:blipFill>
                  <pic:spPr bwMode="auto">
                    <a:xfrm>
                      <a:off x="0" y="0"/>
                      <a:ext cx="1065530"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-1202690</wp:posOffset>
            </wp:positionV>
            <wp:extent cx="19602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7">
                      <a:extLst>
                        <a:ext uri="{28A0092B-C50C-407E-A947-70E740481C1C}"/>
                      </a:extLst>
                    </a:blip>
                    <a:srcRect/>
                    <a:stretch>
                      <a:fillRect/>
                    </a:stretch>
                  </pic:blipFill>
                  <pic:spPr bwMode="auto">
                    <a:xfrm>
                      <a:off x="0" y="0"/>
                      <a:ext cx="196024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-1005840</wp:posOffset>
            </wp:positionV>
            <wp:extent cx="5588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8">
                      <a:extLst>
                        <a:ext uri="{28A0092B-C50C-407E-A947-70E740481C1C}"/>
                      </a:extLst>
                    </a:blip>
                    <a:srcRect/>
                    <a:stretch>
                      <a:fillRect/>
                    </a:stretch>
                  </pic:blipFill>
                  <pic:spPr bwMode="auto">
                    <a:xfrm>
                      <a:off x="0" y="0"/>
                      <a:ext cx="558800" cy="8890"/>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-808355</wp:posOffset>
            </wp:positionV>
            <wp:extent cx="14776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9">
                      <a:extLst>
                        <a:ext uri="{28A0092B-C50C-407E-A947-70E740481C1C}"/>
                      </a:extLst>
                    </a:blip>
                    <a:srcRect/>
                    <a:stretch>
                      <a:fillRect/>
                    </a:stretch>
                  </pic:blipFill>
                  <pic:spPr bwMode="auto">
                    <a:xfrm>
                      <a:off x="0" y="0"/>
                      <a:ext cx="147764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-611505</wp:posOffset>
            </wp:positionV>
            <wp:extent cx="8712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0">
                      <a:extLst>
                        <a:ext uri="{28A0092B-C50C-407E-A947-70E740481C1C}"/>
                      </a:extLst>
                    </a:blip>
                    <a:srcRect/>
                    <a:stretch>
                      <a:fillRect/>
                    </a:stretch>
                  </pic:blipFill>
                  <pic:spPr bwMode="auto">
                    <a:xfrm>
                      <a:off x="0" y="0"/>
                      <a:ext cx="871220" cy="8890"/>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-414020</wp:posOffset>
            </wp:positionV>
            <wp:extent cx="11182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1">
                      <a:extLst>
                        <a:ext uri="{28A0092B-C50C-407E-A947-70E740481C1C}"/>
                      </a:extLst>
                    </a:blip>
                    <a:srcRect/>
                    <a:stretch>
                      <a:fillRect/>
                    </a:stretch>
                  </pic:blipFill>
                  <pic:spPr bwMode="auto">
                    <a:xfrm>
                      <a:off x="0" y="0"/>
                      <a:ext cx="111823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-217170</wp:posOffset>
            </wp:positionV>
            <wp:extent cx="847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2">
                      <a:extLst>
                        <a:ext uri="{28A0092B-C50C-407E-A947-70E740481C1C}"/>
                      </a:extLst>
                    </a:blip>
                    <a:srcRect/>
                    <a:stretch>
                      <a:fillRect/>
                    </a:stretch>
                  </pic:blipFill>
                  <pic:spPr bwMode="auto">
                    <a:xfrm>
                      <a:off x="0" y="0"/>
                      <a:ext cx="847725" cy="8255"/>
                    </a:xfrm>
                    <a:prstGeom prst="rect">
                      <a:avLst/>
                    </a:prstGeom>
                    <a:noFill/>
                  </pic:spPr>
                </pic:pic>
              </a:graphicData>
            </a:graphic>
          </wp:anchor>
        </w:drawing>
        <w:drawing>
          <wp:anchor simplePos="0" relativeHeight="251657728" behindDoc="1" locked="0" layoutInCell="0" allowOverlap="1">
            <wp:simplePos x="0" y="0"/>
            <wp:positionH relativeFrom="column">
              <wp:posOffset>187960</wp:posOffset>
            </wp:positionH>
            <wp:positionV relativeFrom="paragraph">
              <wp:posOffset>-19685</wp:posOffset>
            </wp:positionV>
            <wp:extent cx="14274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3">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br w:type="column"/>
      </w: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390"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1</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1</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1</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1</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1</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1</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3</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3</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3</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4</w:t>
      </w:r>
    </w:p>
    <w:p>
      <w:pPr>
        <w:spacing w:after="0" w:line="85"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u w:val="single" w:color="auto"/>
          <w:color w:val="auto"/>
        </w:rPr>
        <w:t>5</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u w:val="single" w:color="auto"/>
          <w:color w:val="auto"/>
        </w:rPr>
        <w:t>5</w:t>
      </w:r>
    </w:p>
    <w:p>
      <w:pPr>
        <w:spacing w:after="0" w:line="31"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7</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22"/>
          <w:szCs w:val="22"/>
          <w:color w:val="auto"/>
        </w:rPr>
        <w:t>9</w:t>
      </w:r>
    </w:p>
    <w:p>
      <w:pPr>
        <w:spacing w:after="0" w:line="58"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10</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10</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10</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11</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11</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12</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12</w:t>
      </w:r>
    </w:p>
    <w:p>
      <w:pPr>
        <w:spacing w:after="0" w:line="119"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13</w:t>
      </w:r>
    </w:p>
    <w:p>
      <w:pPr>
        <w:spacing w:after="0" w:line="65"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13</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13</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13</w:t>
      </w:r>
    </w:p>
    <w:p>
      <w:pPr>
        <w:spacing w:after="0" w:line="119"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15</w:t>
      </w:r>
    </w:p>
    <w:p>
      <w:pPr>
        <w:spacing w:after="0" w:line="65"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15</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16</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16</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18</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18</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19</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19</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19</w:t>
      </w:r>
    </w:p>
    <w:p>
      <w:pPr>
        <w:spacing w:after="0" w:line="92" w:lineRule="exact"/>
        <w:rPr>
          <w:rFonts w:ascii="Arial" w:cs="Arial" w:eastAsia="Arial" w:hAnsi="Arial"/>
          <w:sz w:val="19"/>
          <w:szCs w:val="19"/>
          <w:u w:val="single" w:color="auto"/>
          <w:color w:val="0000FF"/>
        </w:rPr>
      </w:pPr>
    </w:p>
    <w:p>
      <w:pPr>
        <w:spacing w:after="0"/>
        <w:rPr>
          <w:sz w:val="20"/>
          <w:szCs w:val="20"/>
          <w:color w:val="auto"/>
        </w:rPr>
      </w:pPr>
      <w:r>
        <w:rPr>
          <w:rFonts w:ascii="Arial" w:cs="Arial" w:eastAsia="Arial" w:hAnsi="Arial"/>
          <w:sz w:val="19"/>
          <w:szCs w:val="19"/>
          <w:color w:val="auto"/>
        </w:rPr>
        <w:t>19</w:t>
      </w:r>
    </w:p>
    <w:p>
      <w:pPr>
        <w:sectPr>
          <w:pgSz w:w="11900" w:h="16838" w:orient="portrait"/>
          <w:cols w:equalWidth="0" w:num="2">
            <w:col w:w="9840" w:space="720"/>
            <w:col w:w="220"/>
          </w:cols>
          <w:pgMar w:left="320" w:top="1421" w:right="799" w:bottom="1440" w:gutter="0" w:footer="0" w:header="0"/>
        </w:sectPr>
      </w:pPr>
    </w:p>
    <w:bookmarkStart w:id="143" w:name="page144"/>
    <w:bookmarkEnd w:id="14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Borders>
              <w:bottom w:val="single" w:sz="8" w:color="0000FF"/>
            </w:tcBorders>
          </w:tcPr>
          <w:p>
            <w:pPr>
              <w:jc w:val="right"/>
              <w:spacing w:after="0"/>
              <w:rPr>
                <w:rFonts w:ascii="Arial" w:cs="Arial" w:eastAsia="Arial" w:hAnsi="Arial"/>
                <w:sz w:val="22"/>
                <w:szCs w:val="22"/>
                <w:color w:val="0000FF"/>
                <w:w w:val="84"/>
              </w:rPr>
            </w:pPr>
            <w:hyperlink w:anchor="page144">
              <w:r>
                <w:rPr>
                  <w:rFonts w:ascii="Arial" w:cs="Arial" w:eastAsia="Arial" w:hAnsi="Arial"/>
                  <w:sz w:val="22"/>
                  <w:szCs w:val="22"/>
                  <w:color w:val="0000FF"/>
                  <w:w w:val="84"/>
                </w:rPr>
                <w:t>19.</w:t>
              </w:r>
            </w:hyperlink>
          </w:p>
        </w:tc>
        <w:tc>
          <w:tcPr>
            <w:tcW w:w="1160" w:type="dxa"/>
            <w:vAlign w:val="bottom"/>
            <w:tcBorders>
              <w:bottom w:val="single" w:sz="8" w:color="0000FF"/>
            </w:tcBorders>
            <w:gridSpan w:val="2"/>
          </w:tcPr>
          <w:p>
            <w:pPr>
              <w:ind w:left="220"/>
              <w:spacing w:after="0"/>
              <w:rPr>
                <w:rFonts w:ascii="Arial" w:cs="Arial" w:eastAsia="Arial" w:hAnsi="Arial"/>
                <w:sz w:val="22"/>
                <w:szCs w:val="22"/>
                <w:color w:val="0000FF"/>
                <w:w w:val="89"/>
              </w:rPr>
            </w:pPr>
            <w:hyperlink w:anchor="page144">
              <w:r>
                <w:rPr>
                  <w:rFonts w:ascii="Arial" w:cs="Arial" w:eastAsia="Arial" w:hAnsi="Arial"/>
                  <w:sz w:val="22"/>
                  <w:szCs w:val="22"/>
                  <w:color w:val="0000FF"/>
                  <w:w w:val="89"/>
                </w:rPr>
                <w:t>No Waiver</w:t>
              </w:r>
            </w:hyperlink>
          </w:p>
        </w:tc>
        <w:tc>
          <w:tcPr>
            <w:tcW w:w="5060" w:type="dxa"/>
            <w:vAlign w:val="bottom"/>
            <w:gridSpan w:val="6"/>
          </w:tcPr>
          <w:p>
            <w:pPr>
              <w:spacing w:after="0"/>
              <w:rPr>
                <w:sz w:val="21"/>
                <w:szCs w:val="21"/>
                <w:color w:val="auto"/>
              </w:rPr>
            </w:pPr>
          </w:p>
        </w:tc>
        <w:tc>
          <w:tcPr>
            <w:tcW w:w="42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0"/>
        </w:trPr>
        <w:tc>
          <w:tcPr>
            <w:tcW w:w="280" w:type="dxa"/>
            <w:vAlign w:val="bottom"/>
            <w:tcBorders>
              <w:bottom w:val="single" w:sz="8" w:color="0000FF"/>
            </w:tcBorders>
          </w:tcPr>
          <w:p>
            <w:pPr>
              <w:jc w:val="right"/>
              <w:spacing w:after="0"/>
              <w:rPr>
                <w:rFonts w:ascii="Arial" w:cs="Arial" w:eastAsia="Arial" w:hAnsi="Arial"/>
                <w:sz w:val="22"/>
                <w:szCs w:val="22"/>
                <w:color w:val="0000FF"/>
                <w:w w:val="84"/>
              </w:rPr>
            </w:pPr>
            <w:hyperlink w:anchor="page144">
              <w:r>
                <w:rPr>
                  <w:rFonts w:ascii="Arial" w:cs="Arial" w:eastAsia="Arial" w:hAnsi="Arial"/>
                  <w:sz w:val="22"/>
                  <w:szCs w:val="22"/>
                  <w:color w:val="0000FF"/>
                  <w:w w:val="84"/>
                </w:rPr>
                <w:t>20.</w:t>
              </w:r>
            </w:hyperlink>
          </w:p>
        </w:tc>
        <w:tc>
          <w:tcPr>
            <w:tcW w:w="1260" w:type="dxa"/>
            <w:vAlign w:val="bottom"/>
            <w:tcBorders>
              <w:bottom w:val="single" w:sz="8" w:color="0000FF"/>
            </w:tcBorders>
            <w:gridSpan w:val="3"/>
          </w:tcPr>
          <w:p>
            <w:pPr>
              <w:ind w:left="220"/>
              <w:spacing w:after="0"/>
              <w:rPr>
                <w:rFonts w:ascii="Arial" w:cs="Arial" w:eastAsia="Arial" w:hAnsi="Arial"/>
                <w:sz w:val="22"/>
                <w:szCs w:val="22"/>
                <w:color w:val="0000FF"/>
                <w:w w:val="89"/>
              </w:rPr>
            </w:pPr>
            <w:hyperlink w:anchor="page144">
              <w:r>
                <w:rPr>
                  <w:rFonts w:ascii="Arial" w:cs="Arial" w:eastAsia="Arial" w:hAnsi="Arial"/>
                  <w:sz w:val="22"/>
                  <w:szCs w:val="22"/>
                  <w:color w:val="0000FF"/>
                  <w:w w:val="89"/>
                </w:rPr>
                <w:t>Severability</w:t>
              </w:r>
            </w:hyperlink>
          </w:p>
        </w:tc>
        <w:tc>
          <w:tcPr>
            <w:tcW w:w="4960" w:type="dxa"/>
            <w:vAlign w:val="bottom"/>
            <w:gridSpan w:val="5"/>
          </w:tcPr>
          <w:p>
            <w:pPr>
              <w:spacing w:after="0"/>
              <w:rPr>
                <w:sz w:val="24"/>
                <w:szCs w:val="24"/>
                <w:color w:val="auto"/>
              </w:rPr>
            </w:pPr>
          </w:p>
        </w:tc>
        <w:tc>
          <w:tcPr>
            <w:tcW w:w="42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0"/>
        </w:trPr>
        <w:tc>
          <w:tcPr>
            <w:tcW w:w="280" w:type="dxa"/>
            <w:vAlign w:val="bottom"/>
            <w:tcBorders>
              <w:bottom w:val="single" w:sz="8" w:color="0000FF"/>
            </w:tcBorders>
          </w:tcPr>
          <w:p>
            <w:pPr>
              <w:jc w:val="right"/>
              <w:spacing w:after="0"/>
              <w:rPr>
                <w:rFonts w:ascii="Arial" w:cs="Arial" w:eastAsia="Arial" w:hAnsi="Arial"/>
                <w:sz w:val="22"/>
                <w:szCs w:val="22"/>
                <w:color w:val="0000FF"/>
                <w:w w:val="84"/>
              </w:rPr>
            </w:pPr>
            <w:hyperlink w:anchor="page144">
              <w:r>
                <w:rPr>
                  <w:rFonts w:ascii="Arial" w:cs="Arial" w:eastAsia="Arial" w:hAnsi="Arial"/>
                  <w:sz w:val="22"/>
                  <w:szCs w:val="22"/>
                  <w:color w:val="0000FF"/>
                  <w:w w:val="84"/>
                </w:rPr>
                <w:t>21.</w:t>
              </w:r>
            </w:hyperlink>
          </w:p>
        </w:tc>
        <w:tc>
          <w:tcPr>
            <w:tcW w:w="1040" w:type="dxa"/>
            <w:vAlign w:val="bottom"/>
            <w:tcBorders>
              <w:bottom w:val="single" w:sz="8" w:color="0000FF"/>
            </w:tcBorders>
          </w:tcPr>
          <w:p>
            <w:pPr>
              <w:ind w:left="220"/>
              <w:spacing w:after="0"/>
              <w:rPr>
                <w:rFonts w:ascii="Arial" w:cs="Arial" w:eastAsia="Arial" w:hAnsi="Arial"/>
                <w:sz w:val="22"/>
                <w:szCs w:val="22"/>
                <w:color w:val="0000FF"/>
                <w:w w:val="82"/>
              </w:rPr>
            </w:pPr>
            <w:hyperlink w:anchor="page144">
              <w:r>
                <w:rPr>
                  <w:rFonts w:ascii="Arial" w:cs="Arial" w:eastAsia="Arial" w:hAnsi="Arial"/>
                  <w:sz w:val="22"/>
                  <w:szCs w:val="22"/>
                  <w:color w:val="0000FF"/>
                  <w:w w:val="82"/>
                </w:rPr>
                <w:t>Expenses</w:t>
              </w:r>
            </w:hyperlink>
          </w:p>
        </w:tc>
        <w:tc>
          <w:tcPr>
            <w:tcW w:w="5180" w:type="dxa"/>
            <w:vAlign w:val="bottom"/>
            <w:gridSpan w:val="7"/>
          </w:tcPr>
          <w:p>
            <w:pPr>
              <w:spacing w:after="0"/>
              <w:rPr>
                <w:sz w:val="24"/>
                <w:szCs w:val="24"/>
                <w:color w:val="auto"/>
              </w:rPr>
            </w:pPr>
          </w:p>
        </w:tc>
        <w:tc>
          <w:tcPr>
            <w:tcW w:w="42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1"/>
        </w:trPr>
        <w:tc>
          <w:tcPr>
            <w:tcW w:w="280" w:type="dxa"/>
            <w:vAlign w:val="bottom"/>
          </w:tcPr>
          <w:p>
            <w:pPr>
              <w:jc w:val="right"/>
              <w:spacing w:after="0"/>
              <w:rPr>
                <w:rFonts w:ascii="Arial" w:cs="Arial" w:eastAsia="Arial" w:hAnsi="Arial"/>
                <w:sz w:val="22"/>
                <w:szCs w:val="22"/>
                <w:color w:val="0000FF"/>
                <w:w w:val="84"/>
              </w:rPr>
            </w:pPr>
            <w:hyperlink w:anchor="page144">
              <w:r>
                <w:rPr>
                  <w:rFonts w:ascii="Arial" w:cs="Arial" w:eastAsia="Arial" w:hAnsi="Arial"/>
                  <w:sz w:val="22"/>
                  <w:szCs w:val="22"/>
                  <w:color w:val="0000FF"/>
                  <w:w w:val="84"/>
                </w:rPr>
                <w:t>22.</w:t>
              </w:r>
            </w:hyperlink>
          </w:p>
        </w:tc>
        <w:tc>
          <w:tcPr>
            <w:tcW w:w="6220" w:type="dxa"/>
            <w:vAlign w:val="bottom"/>
            <w:gridSpan w:val="8"/>
          </w:tcPr>
          <w:p>
            <w:pPr>
              <w:ind w:left="220"/>
              <w:spacing w:after="0"/>
              <w:rPr>
                <w:rFonts w:ascii="Arial" w:cs="Arial" w:eastAsia="Arial" w:hAnsi="Arial"/>
                <w:sz w:val="22"/>
                <w:szCs w:val="22"/>
                <w:color w:val="0000FF"/>
              </w:rPr>
            </w:pPr>
            <w:hyperlink w:anchor="page144">
              <w:r>
                <w:rPr>
                  <w:rFonts w:ascii="Arial" w:cs="Arial" w:eastAsia="Arial" w:hAnsi="Arial"/>
                  <w:sz w:val="22"/>
                  <w:szCs w:val="22"/>
                  <w:color w:val="0000FF"/>
                </w:rPr>
                <w:t>Relationship of Parties</w:t>
              </w:r>
            </w:hyperlink>
          </w:p>
        </w:tc>
        <w:tc>
          <w:tcPr>
            <w:tcW w:w="42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1"/>
        </w:trPr>
        <w:tc>
          <w:tcPr>
            <w:tcW w:w="280" w:type="dxa"/>
            <w:vAlign w:val="bottom"/>
            <w:tcBorders>
              <w:top w:val="single" w:sz="8" w:color="0000FF"/>
              <w:bottom w:val="single" w:sz="8" w:color="0000FF"/>
            </w:tcBorders>
          </w:tcPr>
          <w:p>
            <w:pPr>
              <w:jc w:val="right"/>
              <w:spacing w:after="0"/>
              <w:rPr>
                <w:rFonts w:ascii="Arial" w:cs="Arial" w:eastAsia="Arial" w:hAnsi="Arial"/>
                <w:sz w:val="22"/>
                <w:szCs w:val="22"/>
                <w:color w:val="0000FF"/>
                <w:w w:val="84"/>
              </w:rPr>
            </w:pPr>
            <w:hyperlink w:anchor="page144">
              <w:r>
                <w:rPr>
                  <w:rFonts w:ascii="Arial" w:cs="Arial" w:eastAsia="Arial" w:hAnsi="Arial"/>
                  <w:sz w:val="22"/>
                  <w:szCs w:val="22"/>
                  <w:color w:val="0000FF"/>
                  <w:w w:val="84"/>
                </w:rPr>
                <w:t>23.</w:t>
              </w:r>
            </w:hyperlink>
          </w:p>
        </w:tc>
        <w:tc>
          <w:tcPr>
            <w:tcW w:w="1580" w:type="dxa"/>
            <w:vAlign w:val="bottom"/>
            <w:tcBorders>
              <w:top w:val="single" w:sz="8" w:color="0000FF"/>
              <w:bottom w:val="single" w:sz="8" w:color="0000FF"/>
            </w:tcBorders>
            <w:gridSpan w:val="4"/>
          </w:tcPr>
          <w:p>
            <w:pPr>
              <w:ind w:left="220"/>
              <w:spacing w:after="0"/>
              <w:rPr>
                <w:rFonts w:ascii="Arial" w:cs="Arial" w:eastAsia="Arial" w:hAnsi="Arial"/>
                <w:sz w:val="22"/>
                <w:szCs w:val="22"/>
                <w:color w:val="0000FF"/>
                <w:w w:val="90"/>
              </w:rPr>
            </w:pPr>
            <w:hyperlink w:anchor="page144">
              <w:r>
                <w:rPr>
                  <w:rFonts w:ascii="Arial" w:cs="Arial" w:eastAsia="Arial" w:hAnsi="Arial"/>
                  <w:sz w:val="22"/>
                  <w:szCs w:val="22"/>
                  <w:color w:val="0000FF"/>
                  <w:w w:val="90"/>
                </w:rPr>
                <w:t>Governing Law</w:t>
              </w:r>
            </w:hyperlink>
          </w:p>
        </w:tc>
        <w:tc>
          <w:tcPr>
            <w:tcW w:w="600" w:type="dxa"/>
            <w:vAlign w:val="bottom"/>
            <w:tcBorders>
              <w:top w:val="single" w:sz="8" w:color="0000FF"/>
            </w:tcBorders>
            <w:gridSpan w:val="3"/>
          </w:tcPr>
          <w:p>
            <w:pPr>
              <w:spacing w:after="0"/>
              <w:rPr>
                <w:sz w:val="24"/>
                <w:szCs w:val="24"/>
                <w:color w:val="auto"/>
              </w:rPr>
            </w:pPr>
          </w:p>
        </w:tc>
        <w:tc>
          <w:tcPr>
            <w:tcW w:w="4040" w:type="dxa"/>
            <w:vAlign w:val="bottom"/>
          </w:tcPr>
          <w:p>
            <w:pPr>
              <w:spacing w:after="0"/>
              <w:rPr>
                <w:sz w:val="24"/>
                <w:szCs w:val="24"/>
                <w:color w:val="auto"/>
              </w:rPr>
            </w:pPr>
          </w:p>
        </w:tc>
        <w:tc>
          <w:tcPr>
            <w:tcW w:w="42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1"/>
        </w:trPr>
        <w:tc>
          <w:tcPr>
            <w:tcW w:w="280" w:type="dxa"/>
            <w:vAlign w:val="bottom"/>
            <w:tcBorders>
              <w:bottom w:val="single" w:sz="8" w:color="0000FF"/>
            </w:tcBorders>
          </w:tcPr>
          <w:p>
            <w:pPr>
              <w:jc w:val="right"/>
              <w:spacing w:after="0"/>
              <w:rPr>
                <w:rFonts w:ascii="Arial" w:cs="Arial" w:eastAsia="Arial" w:hAnsi="Arial"/>
                <w:sz w:val="22"/>
                <w:szCs w:val="22"/>
                <w:color w:val="0000FF"/>
                <w:w w:val="84"/>
              </w:rPr>
            </w:pPr>
            <w:hyperlink w:anchor="page144">
              <w:r>
                <w:rPr>
                  <w:rFonts w:ascii="Arial" w:cs="Arial" w:eastAsia="Arial" w:hAnsi="Arial"/>
                  <w:sz w:val="22"/>
                  <w:szCs w:val="22"/>
                  <w:color w:val="0000FF"/>
                  <w:w w:val="84"/>
                </w:rPr>
                <w:t>24.</w:t>
              </w:r>
            </w:hyperlink>
          </w:p>
        </w:tc>
        <w:tc>
          <w:tcPr>
            <w:tcW w:w="1880" w:type="dxa"/>
            <w:vAlign w:val="bottom"/>
            <w:tcBorders>
              <w:bottom w:val="single" w:sz="8" w:color="0000FF"/>
            </w:tcBorders>
            <w:gridSpan w:val="5"/>
          </w:tcPr>
          <w:p>
            <w:pPr>
              <w:ind w:left="220"/>
              <w:spacing w:after="0"/>
              <w:rPr>
                <w:rFonts w:ascii="Arial" w:cs="Arial" w:eastAsia="Arial" w:hAnsi="Arial"/>
                <w:sz w:val="22"/>
                <w:szCs w:val="22"/>
                <w:color w:val="0000FF"/>
                <w:w w:val="88"/>
              </w:rPr>
            </w:pPr>
            <w:hyperlink w:anchor="page144">
              <w:r>
                <w:rPr>
                  <w:rFonts w:ascii="Arial" w:cs="Arial" w:eastAsia="Arial" w:hAnsi="Arial"/>
                  <w:sz w:val="22"/>
                  <w:szCs w:val="22"/>
                  <w:color w:val="0000FF"/>
                  <w:w w:val="88"/>
                </w:rPr>
                <w:t>Dispute Resolution</w:t>
              </w:r>
            </w:hyperlink>
          </w:p>
        </w:tc>
        <w:tc>
          <w:tcPr>
            <w:tcW w:w="4340" w:type="dxa"/>
            <w:vAlign w:val="bottom"/>
            <w:gridSpan w:val="3"/>
          </w:tcPr>
          <w:p>
            <w:pPr>
              <w:spacing w:after="0"/>
              <w:rPr>
                <w:sz w:val="24"/>
                <w:szCs w:val="24"/>
                <w:color w:val="auto"/>
              </w:rPr>
            </w:pPr>
          </w:p>
        </w:tc>
        <w:tc>
          <w:tcPr>
            <w:tcW w:w="42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0"/>
        </w:trPr>
        <w:tc>
          <w:tcPr>
            <w:tcW w:w="280" w:type="dxa"/>
            <w:vAlign w:val="bottom"/>
            <w:tcBorders>
              <w:bottom w:val="single" w:sz="8" w:color="0000FF"/>
            </w:tcBorders>
          </w:tcPr>
          <w:p>
            <w:pPr>
              <w:jc w:val="right"/>
              <w:spacing w:after="0"/>
              <w:rPr>
                <w:rFonts w:ascii="Arial" w:cs="Arial" w:eastAsia="Arial" w:hAnsi="Arial"/>
                <w:sz w:val="22"/>
                <w:szCs w:val="22"/>
                <w:color w:val="0000FF"/>
                <w:w w:val="84"/>
              </w:rPr>
            </w:pPr>
            <w:hyperlink w:anchor="page144">
              <w:r>
                <w:rPr>
                  <w:rFonts w:ascii="Arial" w:cs="Arial" w:eastAsia="Arial" w:hAnsi="Arial"/>
                  <w:sz w:val="22"/>
                  <w:szCs w:val="22"/>
                  <w:color w:val="0000FF"/>
                  <w:w w:val="84"/>
                </w:rPr>
                <w:t>25.</w:t>
              </w:r>
            </w:hyperlink>
          </w:p>
        </w:tc>
        <w:tc>
          <w:tcPr>
            <w:tcW w:w="2120" w:type="dxa"/>
            <w:vAlign w:val="bottom"/>
            <w:tcBorders>
              <w:bottom w:val="single" w:sz="8" w:color="0000FF"/>
            </w:tcBorders>
            <w:gridSpan w:val="6"/>
          </w:tcPr>
          <w:p>
            <w:pPr>
              <w:ind w:left="220"/>
              <w:spacing w:after="0"/>
              <w:rPr>
                <w:rFonts w:ascii="Arial" w:cs="Arial" w:eastAsia="Arial" w:hAnsi="Arial"/>
                <w:sz w:val="22"/>
                <w:szCs w:val="22"/>
                <w:color w:val="0000FF"/>
                <w:w w:val="89"/>
              </w:rPr>
            </w:pPr>
            <w:hyperlink w:anchor="page144">
              <w:r>
                <w:rPr>
                  <w:rFonts w:ascii="Arial" w:cs="Arial" w:eastAsia="Arial" w:hAnsi="Arial"/>
                  <w:sz w:val="22"/>
                  <w:szCs w:val="22"/>
                  <w:color w:val="0000FF"/>
                  <w:w w:val="89"/>
                </w:rPr>
                <w:t>Rules of Construction</w:t>
              </w:r>
            </w:hyperlink>
          </w:p>
        </w:tc>
        <w:tc>
          <w:tcPr>
            <w:tcW w:w="4100" w:type="dxa"/>
            <w:vAlign w:val="bottom"/>
            <w:gridSpan w:val="2"/>
          </w:tcPr>
          <w:p>
            <w:pPr>
              <w:spacing w:after="0"/>
              <w:rPr>
                <w:sz w:val="24"/>
                <w:szCs w:val="24"/>
                <w:color w:val="auto"/>
              </w:rPr>
            </w:pPr>
          </w:p>
        </w:tc>
        <w:tc>
          <w:tcPr>
            <w:tcW w:w="4260" w:type="dxa"/>
            <w:vAlign w:val="bottom"/>
          </w:tcPr>
          <w:p>
            <w:pPr>
              <w:jc w:val="right"/>
              <w:spacing w:after="0"/>
              <w:rPr>
                <w:sz w:val="20"/>
                <w:szCs w:val="20"/>
                <w:color w:val="auto"/>
              </w:rPr>
            </w:pPr>
            <w:r>
              <w:rPr>
                <w:rFonts w:ascii="Arial" w:cs="Arial" w:eastAsia="Arial" w:hAnsi="Arial"/>
                <w:sz w:val="22"/>
                <w:szCs w:val="22"/>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-1310640</wp:posOffset>
            </wp:positionV>
            <wp:extent cx="145415"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4">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-1113790</wp:posOffset>
            </wp:positionV>
            <wp:extent cx="145415"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5">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-916305</wp:posOffset>
            </wp:positionV>
            <wp:extent cx="14541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6">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-719455</wp:posOffset>
            </wp:positionV>
            <wp:extent cx="145415"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7">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-521970</wp:posOffset>
            </wp:positionV>
            <wp:extent cx="145415"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8">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-325120</wp:posOffset>
            </wp:positionV>
            <wp:extent cx="145415"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9">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-128270</wp:posOffset>
            </wp:positionV>
            <wp:extent cx="145415"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0">
                      <a:extLst>
                        <a:ext uri="{28A0092B-C50C-407E-A947-70E740481C1C}"/>
                      </a:extLst>
                    </a:blip>
                    <a:srcRect/>
                    <a:stretch>
                      <a:fillRect/>
                    </a:stretch>
                  </pic:blipFill>
                  <pic:spPr bwMode="auto">
                    <a:xfrm>
                      <a:off x="0" y="0"/>
                      <a:ext cx="145415" cy="137160"/>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144" w:name="page145"/>
    <w:bookmarkEnd w:id="144"/>
    <w:p>
      <w:pPr>
        <w:jc w:val="both"/>
        <w:ind w:left="27" w:firstLine="648"/>
        <w:spacing w:after="0" w:line="250" w:lineRule="auto"/>
        <w:rPr>
          <w:sz w:val="20"/>
          <w:szCs w:val="20"/>
          <w:color w:val="auto"/>
        </w:rPr>
      </w:pPr>
      <w:r>
        <w:rPr>
          <w:rFonts w:ascii="Arial" w:cs="Arial" w:eastAsia="Arial" w:hAnsi="Arial"/>
          <w:sz w:val="22"/>
          <w:szCs w:val="22"/>
          <w:color w:val="auto"/>
        </w:rPr>
        <w:t>This CAPITAL PROVISION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dated as of December 11, 2020, is between PDL BIOPHARMA, INC., an entity organized or formed under the laws of the jurisdiction identified in Annex I (the “</w:t>
      </w:r>
      <w:r>
        <w:rPr>
          <w:rFonts w:ascii="Arial" w:cs="Arial" w:eastAsia="Arial" w:hAnsi="Arial"/>
          <w:sz w:val="22"/>
          <w:szCs w:val="22"/>
          <w:b w:val="1"/>
          <w:bCs w:val="1"/>
          <w:i w:val="1"/>
          <w:iCs w:val="1"/>
          <w:color w:val="auto"/>
        </w:rPr>
        <w:t>Counterparty</w:t>
      </w:r>
      <w:r>
        <w:rPr>
          <w:rFonts w:ascii="Arial" w:cs="Arial" w:eastAsia="Arial" w:hAnsi="Arial"/>
          <w:sz w:val="22"/>
          <w:szCs w:val="22"/>
          <w:color w:val="auto"/>
        </w:rPr>
        <w:t xml:space="preserve">”), on the one hand, and EPPS INVESTMENTS LLC, a limited liability company formed under the laws of the State of Delaware (the “Capital </w:t>
      </w:r>
      <w:r>
        <w:rPr>
          <w:rFonts w:ascii="Arial" w:cs="Arial" w:eastAsia="Arial" w:hAnsi="Arial"/>
          <w:sz w:val="22"/>
          <w:szCs w:val="22"/>
          <w:b w:val="1"/>
          <w:bCs w:val="1"/>
          <w:i w:val="1"/>
          <w:iCs w:val="1"/>
          <w:color w:val="auto"/>
        </w:rPr>
        <w:t>Provider</w:t>
      </w:r>
      <w:r>
        <w:rPr>
          <w:rFonts w:ascii="Arial" w:cs="Arial" w:eastAsia="Arial" w:hAnsi="Arial"/>
          <w:sz w:val="22"/>
          <w:szCs w:val="22"/>
          <w:color w:val="auto"/>
        </w:rPr>
        <w:t>”), on the other hand.</w:t>
      </w:r>
    </w:p>
    <w:p>
      <w:pPr>
        <w:spacing w:after="0" w:line="182" w:lineRule="exact"/>
        <w:rPr>
          <w:sz w:val="20"/>
          <w:szCs w:val="20"/>
          <w:color w:val="auto"/>
        </w:rPr>
      </w:pPr>
    </w:p>
    <w:p>
      <w:pPr>
        <w:ind w:left="687" w:hanging="652"/>
        <w:spacing w:after="0"/>
        <w:tabs>
          <w:tab w:leader="none" w:pos="687"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27"/>
        <w:spacing w:after="0" w:line="287" w:lineRule="auto"/>
        <w:rPr>
          <w:sz w:val="20"/>
          <w:szCs w:val="20"/>
          <w:color w:val="auto"/>
        </w:rPr>
      </w:pPr>
      <w:r>
        <w:rPr>
          <w:rFonts w:ascii="Arial" w:cs="Arial" w:eastAsia="Arial" w:hAnsi="Arial"/>
          <w:sz w:val="21"/>
          <w:szCs w:val="21"/>
          <w:color w:val="auto"/>
        </w:rPr>
        <w:t xml:space="preserve">Certain capitalized terms used herein have the meanings assigned thereto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Capitalized terms used but not otherwise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the respective meanings assigned to such terms elsewhere in this Agreement.</w:t>
      </w:r>
    </w:p>
    <w:p>
      <w:pPr>
        <w:spacing w:after="0" w:line="145" w:lineRule="exact"/>
        <w:rPr>
          <w:sz w:val="20"/>
          <w:szCs w:val="20"/>
          <w:color w:val="auto"/>
        </w:rPr>
      </w:pPr>
    </w:p>
    <w:p>
      <w:pPr>
        <w:ind w:left="367" w:right="4540" w:hanging="332"/>
        <w:spacing w:after="0" w:line="444" w:lineRule="auto"/>
        <w:tabs>
          <w:tab w:leader="none" w:pos="691" w:val="left"/>
        </w:tabs>
        <w:numPr>
          <w:ilvl w:val="1"/>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Capital Provision Obligations and Capital Provider’s Entitlement 2.1 Capital Amount</w:t>
      </w:r>
    </w:p>
    <w:p>
      <w:pPr>
        <w:spacing w:after="0" w:line="1" w:lineRule="exact"/>
        <w:rPr>
          <w:rFonts w:ascii="Arial" w:cs="Arial" w:eastAsia="Arial" w:hAnsi="Arial"/>
          <w:sz w:val="22"/>
          <w:szCs w:val="22"/>
          <w:b w:val="1"/>
          <w:bCs w:val="1"/>
          <w:color w:val="auto"/>
        </w:rPr>
      </w:pPr>
    </w:p>
    <w:p>
      <w:pPr>
        <w:jc w:val="both"/>
        <w:ind w:left="647" w:hanging="647"/>
        <w:spacing w:after="0" w:line="312" w:lineRule="auto"/>
        <w:tabs>
          <w:tab w:leader="none" w:pos="635"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Capital Provider shall provide US $51,391,184 (the “</w:t>
      </w:r>
      <w:r>
        <w:rPr>
          <w:rFonts w:ascii="Arial" w:cs="Arial" w:eastAsia="Arial" w:hAnsi="Arial"/>
          <w:sz w:val="19"/>
          <w:szCs w:val="19"/>
          <w:b w:val="1"/>
          <w:bCs w:val="1"/>
          <w:i w:val="1"/>
          <w:iCs w:val="1"/>
          <w:color w:val="auto"/>
        </w:rPr>
        <w:t>Capital Amount</w:t>
      </w:r>
      <w:r>
        <w:rPr>
          <w:rFonts w:ascii="Arial" w:cs="Arial" w:eastAsia="Arial" w:hAnsi="Arial"/>
          <w:sz w:val="19"/>
          <w:szCs w:val="19"/>
          <w:color w:val="auto"/>
        </w:rPr>
        <w:t>”) to the Counterparty in a single payment (or a series of payments made at the same time) by wire transfer of immediately available funds on or before December 31, 2020. The Capital Provider shall provide the Counterparty with two days prior written notice of any such payment.</w:t>
      </w:r>
    </w:p>
    <w:p>
      <w:pPr>
        <w:spacing w:after="0" w:line="133" w:lineRule="exact"/>
        <w:rPr>
          <w:rFonts w:ascii="Arial" w:cs="Arial" w:eastAsia="Arial" w:hAnsi="Arial"/>
          <w:sz w:val="19"/>
          <w:szCs w:val="19"/>
          <w:color w:val="auto"/>
        </w:rPr>
      </w:pPr>
    </w:p>
    <w:p>
      <w:pPr>
        <w:ind w:left="647" w:hanging="647"/>
        <w:spacing w:after="0" w:line="263" w:lineRule="auto"/>
        <w:tabs>
          <w:tab w:leader="none" w:pos="647"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Capital Provider shall retain $50,000 of the Capital Amount to cover its closing and other costs; for all other purposes of this Agreement, the Capital Amount shall be deemed to be the full stated amount thereof.</w:t>
      </w:r>
    </w:p>
    <w:p>
      <w:pPr>
        <w:spacing w:after="0" w:line="169" w:lineRule="exact"/>
        <w:rPr>
          <w:sz w:val="20"/>
          <w:szCs w:val="20"/>
          <w:color w:val="auto"/>
        </w:rPr>
      </w:pPr>
    </w:p>
    <w:p>
      <w:pPr>
        <w:ind w:left="387"/>
        <w:spacing w:after="0"/>
        <w:tabs>
          <w:tab w:leader="none" w:pos="867"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Capital Provider’s Entitlement</w:t>
      </w:r>
    </w:p>
    <w:p>
      <w:pPr>
        <w:spacing w:after="0" w:line="280" w:lineRule="exact"/>
        <w:rPr>
          <w:sz w:val="20"/>
          <w:szCs w:val="20"/>
          <w:color w:val="auto"/>
        </w:rPr>
      </w:pPr>
    </w:p>
    <w:p>
      <w:pPr>
        <w:ind w:left="707" w:right="160"/>
        <w:spacing w:after="0" w:line="343" w:lineRule="auto"/>
        <w:rPr>
          <w:sz w:val="20"/>
          <w:szCs w:val="20"/>
          <w:color w:val="auto"/>
        </w:rPr>
      </w:pPr>
      <w:r>
        <w:rPr>
          <w:rFonts w:ascii="Arial" w:cs="Arial" w:eastAsia="Arial" w:hAnsi="Arial"/>
          <w:sz w:val="19"/>
          <w:szCs w:val="19"/>
          <w:color w:val="auto"/>
        </w:rPr>
        <w:t>In consideration of their agreement to provide the Capital Amount, the Capital Provider shall be entitled to receive one hundred percent (100%) of Proceeds received on or after the Closing Date (the “</w:t>
      </w:r>
      <w:r>
        <w:rPr>
          <w:rFonts w:ascii="Arial" w:cs="Arial" w:eastAsia="Arial" w:hAnsi="Arial"/>
          <w:sz w:val="19"/>
          <w:szCs w:val="19"/>
          <w:b w:val="1"/>
          <w:bCs w:val="1"/>
          <w:i w:val="1"/>
          <w:iCs w:val="1"/>
          <w:color w:val="auto"/>
        </w:rPr>
        <w:t>Capital Provider’s Entitlement</w:t>
      </w:r>
      <w:r>
        <w:rPr>
          <w:rFonts w:ascii="Arial" w:cs="Arial" w:eastAsia="Arial" w:hAnsi="Arial"/>
          <w:sz w:val="19"/>
          <w:szCs w:val="19"/>
          <w:color w:val="auto"/>
        </w:rPr>
        <w:t>”).</w:t>
      </w:r>
    </w:p>
    <w:p>
      <w:pPr>
        <w:spacing w:after="0" w:line="328" w:lineRule="exact"/>
        <w:rPr>
          <w:sz w:val="20"/>
          <w:szCs w:val="20"/>
          <w:color w:val="auto"/>
        </w:rPr>
      </w:pPr>
    </w:p>
    <w:p>
      <w:pPr>
        <w:ind w:left="367" w:right="6740" w:hanging="332"/>
        <w:spacing w:after="0" w:line="451" w:lineRule="auto"/>
        <w:tabs>
          <w:tab w:leader="none" w:pos="691"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Payment Obligations of the Counterparty 3.1 Payments</w:t>
      </w:r>
    </w:p>
    <w:p>
      <w:pPr>
        <w:jc w:val="both"/>
        <w:ind w:left="687" w:hanging="652"/>
        <w:spacing w:after="0" w:line="250" w:lineRule="auto"/>
        <w:tabs>
          <w:tab w:leader="none" w:pos="675"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Non-Recourse Agreement. </w:t>
      </w:r>
      <w:r>
        <w:rPr>
          <w:rFonts w:ascii="Arial" w:cs="Arial" w:eastAsia="Arial" w:hAnsi="Arial"/>
          <w:sz w:val="22"/>
          <w:szCs w:val="22"/>
          <w:color w:val="auto"/>
        </w:rPr>
        <w:t>The Capital Amount is provided to the Counterparty on a non-recourse basis, and the Capital</w:t>
      </w:r>
      <w:r>
        <w:rPr>
          <w:rFonts w:ascii="Arial" w:cs="Arial" w:eastAsia="Arial" w:hAnsi="Arial"/>
          <w:sz w:val="22"/>
          <w:szCs w:val="22"/>
          <w:i w:val="1"/>
          <w:iCs w:val="1"/>
          <w:color w:val="auto"/>
        </w:rPr>
        <w:t xml:space="preserve"> </w:t>
      </w:r>
      <w:r>
        <w:rPr>
          <w:rFonts w:ascii="Arial" w:cs="Arial" w:eastAsia="Arial" w:hAnsi="Arial"/>
          <w:sz w:val="22"/>
          <w:szCs w:val="22"/>
          <w:color w:val="auto"/>
        </w:rPr>
        <w:t>Provider’s Entitlement is derived from, computed on the basis of and paid solely from Proceeds. If there are no Proceeds, the Counterparty shall not have any obligation to pay the Capital Provider’s Entitlement (including any repayment of the Capital Amount provided).</w:t>
      </w:r>
    </w:p>
    <w:p>
      <w:pPr>
        <w:spacing w:after="0" w:line="187" w:lineRule="exact"/>
        <w:rPr>
          <w:rFonts w:ascii="Arial" w:cs="Arial" w:eastAsia="Arial" w:hAnsi="Arial"/>
          <w:sz w:val="22"/>
          <w:szCs w:val="22"/>
          <w:color w:val="auto"/>
        </w:rPr>
      </w:pPr>
    </w:p>
    <w:p>
      <w:pPr>
        <w:jc w:val="both"/>
        <w:ind w:left="687" w:hanging="652"/>
        <w:spacing w:after="0" w:line="302" w:lineRule="auto"/>
        <w:tabs>
          <w:tab w:leader="none" w:pos="687" w:val="left"/>
        </w:tabs>
        <w:numPr>
          <w:ilvl w:val="0"/>
          <w:numId w:val="82"/>
        </w:numPr>
        <w:rPr>
          <w:rFonts w:ascii="Arial" w:cs="Arial" w:eastAsia="Arial" w:hAnsi="Arial"/>
          <w:sz w:val="19"/>
          <w:szCs w:val="19"/>
          <w:color w:val="auto"/>
        </w:rPr>
      </w:pPr>
      <w:r>
        <w:rPr>
          <w:rFonts w:ascii="Arial" w:cs="Arial" w:eastAsia="Arial" w:hAnsi="Arial"/>
          <w:sz w:val="19"/>
          <w:szCs w:val="19"/>
          <w:i w:val="1"/>
          <w:iCs w:val="1"/>
          <w:color w:val="auto"/>
        </w:rPr>
        <w:t>Notice</w:t>
      </w:r>
      <w:r>
        <w:rPr>
          <w:rFonts w:ascii="Arial" w:cs="Arial" w:eastAsia="Arial" w:hAnsi="Arial"/>
          <w:sz w:val="19"/>
          <w:szCs w:val="19"/>
          <w:color w:val="auto"/>
        </w:rPr>
        <w:t>. Prior to the execution and delivery of the Assignment, if at any time Proceeds are paid or otherwise realized, the</w:t>
      </w:r>
      <w:r>
        <w:rPr>
          <w:rFonts w:ascii="Arial" w:cs="Arial" w:eastAsia="Arial" w:hAnsi="Arial"/>
          <w:sz w:val="19"/>
          <w:szCs w:val="19"/>
          <w:i w:val="1"/>
          <w:iCs w:val="1"/>
          <w:color w:val="auto"/>
        </w:rPr>
        <w:t xml:space="preserve"> </w:t>
      </w:r>
      <w:r>
        <w:rPr>
          <w:rFonts w:ascii="Arial" w:cs="Arial" w:eastAsia="Arial" w:hAnsi="Arial"/>
          <w:sz w:val="19"/>
          <w:szCs w:val="19"/>
          <w:color w:val="auto"/>
        </w:rPr>
        <w:t>Counterparty shall promptly notify the Capital Provider of the amount of such Proceeds. After the execution and delivery of the Assignment, if the Counterparty becomes aware of Proceeds being paid or otherwise realized, the Counterparty shall promptly notify the Capital Provider of the amount of such Proceeds, to the extent known.</w:t>
      </w:r>
    </w:p>
    <w:p>
      <w:pPr>
        <w:sectPr>
          <w:pgSz w:w="11900" w:h="16838" w:orient="portrait"/>
          <w:cols w:equalWidth="0" w:num="1">
            <w:col w:w="11267"/>
          </w:cols>
          <w:pgMar w:left="293" w:top="1427" w:right="339" w:bottom="1440" w:gutter="0" w:footer="0" w:header="0"/>
        </w:sectPr>
      </w:pPr>
    </w:p>
    <w:bookmarkStart w:id="145" w:name="page146"/>
    <w:bookmarkEnd w:id="145"/>
    <w:p>
      <w:pPr>
        <w:jc w:val="both"/>
        <w:ind w:left="652" w:hanging="652"/>
        <w:spacing w:after="0" w:line="258" w:lineRule="auto"/>
        <w:tabs>
          <w:tab w:leader="none" w:pos="640" w:val="left"/>
        </w:tabs>
        <w:numPr>
          <w:ilvl w:val="0"/>
          <w:numId w:val="83"/>
        </w:numPr>
        <w:rPr>
          <w:rFonts w:ascii="Arial" w:cs="Arial" w:eastAsia="Arial" w:hAnsi="Arial"/>
          <w:sz w:val="21"/>
          <w:szCs w:val="21"/>
          <w:color w:val="auto"/>
        </w:rPr>
      </w:pPr>
      <w:r>
        <w:rPr>
          <w:rFonts w:ascii="Arial" w:cs="Arial" w:eastAsia="Arial" w:hAnsi="Arial"/>
          <w:sz w:val="21"/>
          <w:szCs w:val="21"/>
          <w:i w:val="1"/>
          <w:iCs w:val="1"/>
          <w:color w:val="auto"/>
        </w:rPr>
        <w:t>Post-Closing Obligation; Payment and Delivery of Proceeds</w:t>
      </w:r>
      <w:r>
        <w:rPr>
          <w:rFonts w:ascii="Arial" w:cs="Arial" w:eastAsia="Arial" w:hAnsi="Arial"/>
          <w:sz w:val="21"/>
          <w:szCs w:val="21"/>
          <w:color w:val="auto"/>
        </w:rPr>
        <w:t>. Within thirty (30) days of the date on which the Capital</w:t>
      </w:r>
      <w:r>
        <w:rPr>
          <w:rFonts w:ascii="Arial" w:cs="Arial" w:eastAsia="Arial" w:hAnsi="Arial"/>
          <w:sz w:val="21"/>
          <w:szCs w:val="21"/>
          <w:i w:val="1"/>
          <w:iCs w:val="1"/>
          <w:color w:val="auto"/>
        </w:rPr>
        <w:t xml:space="preserve"> </w:t>
      </w:r>
      <w:r>
        <w:rPr>
          <w:rFonts w:ascii="Arial" w:cs="Arial" w:eastAsia="Arial" w:hAnsi="Arial"/>
          <w:sz w:val="21"/>
          <w:szCs w:val="21"/>
          <w:color w:val="auto"/>
        </w:rPr>
        <w:t>Amount has been paid to the Counterparty, the Counterparty shall open a bank account (the “</w:t>
      </w:r>
      <w:r>
        <w:rPr>
          <w:rFonts w:ascii="Arial" w:cs="Arial" w:eastAsia="Arial" w:hAnsi="Arial"/>
          <w:sz w:val="21"/>
          <w:szCs w:val="21"/>
          <w:b w:val="1"/>
          <w:bCs w:val="1"/>
          <w:i w:val="1"/>
          <w:iCs w:val="1"/>
          <w:color w:val="auto"/>
        </w:rPr>
        <w:t>Control Account</w:t>
      </w:r>
      <w:r>
        <w:rPr>
          <w:rFonts w:ascii="Arial" w:cs="Arial" w:eastAsia="Arial" w:hAnsi="Arial"/>
          <w:sz w:val="21"/>
          <w:szCs w:val="21"/>
          <w:color w:val="auto"/>
        </w:rPr>
        <w:t>”) with Wells Fargo Bank NA or another bank reasonably acceptable to the Counterparty and the Capital Provider (the “</w:t>
      </w:r>
      <w:r>
        <w:rPr>
          <w:rFonts w:ascii="Arial" w:cs="Arial" w:eastAsia="Arial" w:hAnsi="Arial"/>
          <w:sz w:val="21"/>
          <w:szCs w:val="21"/>
          <w:b w:val="1"/>
          <w:bCs w:val="1"/>
          <w:i w:val="1"/>
          <w:iCs w:val="1"/>
          <w:color w:val="auto"/>
        </w:rPr>
        <w:t>Depository Bank</w:t>
      </w:r>
      <w:r>
        <w:rPr>
          <w:rFonts w:ascii="Arial" w:cs="Arial" w:eastAsia="Arial" w:hAnsi="Arial"/>
          <w:sz w:val="21"/>
          <w:szCs w:val="21"/>
          <w:color w:val="auto"/>
        </w:rPr>
        <w:t>”) and enter into a deposit account control agreement with the Depository Bank and the Capital Provider with respect to such Control Account pursuant to which, among other things, the Depository Bank will agree to comply with instructions originated by the Capital Provider (and not the Counterparty) regarding the disposition of funds in the Control Account without the further consent of the Counterparty. The Counterparty shall use commercially reasonable efforts to obtain the consent of the parties to the Escrow Agreement to replace the Counterparty’s account set forth on Exhibit B-2 of the Escrow Agreement with the Control Account and shall promptly make such replacement if and when such consent is obtained.</w:t>
      </w:r>
    </w:p>
    <w:p>
      <w:pPr>
        <w:spacing w:after="0" w:line="185" w:lineRule="exact"/>
        <w:rPr>
          <w:rFonts w:ascii="Arial" w:cs="Arial" w:eastAsia="Arial" w:hAnsi="Arial"/>
          <w:sz w:val="21"/>
          <w:szCs w:val="21"/>
          <w:color w:val="auto"/>
        </w:rPr>
      </w:pPr>
    </w:p>
    <w:p>
      <w:pPr>
        <w:jc w:val="both"/>
        <w:ind w:left="652" w:hanging="652"/>
        <w:spacing w:after="0" w:line="290" w:lineRule="auto"/>
        <w:tabs>
          <w:tab w:leader="none" w:pos="652"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 xml:space="preserve">Proceeds Held in Trust, etc. </w:t>
      </w:r>
      <w:r>
        <w:rPr>
          <w:rFonts w:ascii="Arial" w:cs="Arial" w:eastAsia="Arial" w:hAnsi="Arial"/>
          <w:sz w:val="19"/>
          <w:szCs w:val="19"/>
          <w:color w:val="auto"/>
        </w:rPr>
        <w:t>If, notwithstanding Section 3.1(c), any Proceeds are received by the Counterparty or an</w:t>
      </w:r>
      <w:r>
        <w:rPr>
          <w:rFonts w:ascii="Arial" w:cs="Arial" w:eastAsia="Arial" w:hAnsi="Arial"/>
          <w:sz w:val="19"/>
          <w:szCs w:val="19"/>
          <w:i w:val="1"/>
          <w:iCs w:val="1"/>
          <w:color w:val="auto"/>
        </w:rPr>
        <w:t xml:space="preserve"> </w:t>
      </w:r>
      <w:r>
        <w:rPr>
          <w:rFonts w:ascii="Arial" w:cs="Arial" w:eastAsia="Arial" w:hAnsi="Arial"/>
          <w:sz w:val="19"/>
          <w:szCs w:val="19"/>
          <w:color w:val="auto"/>
        </w:rPr>
        <w:t>Affiliate of the Counterparty in an account which is not the Control Account, the Counterparty shall promptly pay or deliver such Proceeds to the Control Account or directly to the Capital Provider. If, notwithstanding Section 3.1(c), the Counterparty becomes aware of Proceeds received by a third party, the Counterparty shall instruct such third party to, (</w:t>
      </w:r>
      <w:r>
        <w:rPr>
          <w:rFonts w:ascii="Arial" w:cs="Arial" w:eastAsia="Arial" w:hAnsi="Arial"/>
          <w:sz w:val="19"/>
          <w:szCs w:val="19"/>
          <w:u w:val="single" w:color="auto"/>
          <w:color w:val="auto"/>
        </w:rPr>
        <w:t>i</w:t>
      </w:r>
      <w:r>
        <w:rPr>
          <w:rFonts w:ascii="Arial" w:cs="Arial" w:eastAsia="Arial" w:hAnsi="Arial"/>
          <w:sz w:val="19"/>
          <w:szCs w:val="19"/>
          <w:color w:val="auto"/>
        </w:rPr>
        <w:t>) hold such Proceeds in trust for the benefit of the Capital Provider; (</w:t>
      </w:r>
      <w:r>
        <w:rPr>
          <w:rFonts w:ascii="Arial" w:cs="Arial" w:eastAsia="Arial" w:hAnsi="Arial"/>
          <w:sz w:val="19"/>
          <w:szCs w:val="19"/>
          <w:u w:val="single" w:color="auto"/>
          <w:color w:val="auto"/>
        </w:rPr>
        <w:t>ii</w:t>
      </w:r>
      <w:r>
        <w:rPr>
          <w:rFonts w:ascii="Arial" w:cs="Arial" w:eastAsia="Arial" w:hAnsi="Arial"/>
          <w:sz w:val="19"/>
          <w:szCs w:val="19"/>
          <w:color w:val="auto"/>
        </w:rPr>
        <w:t>) segregate such Proceeds from all other funds and property; and (</w:t>
      </w:r>
      <w:r>
        <w:rPr>
          <w:rFonts w:ascii="Arial" w:cs="Arial" w:eastAsia="Arial" w:hAnsi="Arial"/>
          <w:sz w:val="19"/>
          <w:szCs w:val="19"/>
          <w:u w:val="single" w:color="auto"/>
          <w:color w:val="auto"/>
        </w:rPr>
        <w:t>iii</w:t>
      </w:r>
      <w:r>
        <w:rPr>
          <w:rFonts w:ascii="Arial" w:cs="Arial" w:eastAsia="Arial" w:hAnsi="Arial"/>
          <w:sz w:val="19"/>
          <w:szCs w:val="19"/>
          <w:color w:val="auto"/>
        </w:rPr>
        <w:t>) immediately pay or deliver such Proceeds to the Control Account or directly to the Capital Provider; provided, that the Counterparty shall have no obligation to take any actions to require the third party to comply with such instructions and shall have no liability if such third party fails to comply with such instructions.</w:t>
      </w:r>
    </w:p>
    <w:p>
      <w:pPr>
        <w:spacing w:after="0" w:line="155" w:lineRule="exact"/>
        <w:rPr>
          <w:rFonts w:ascii="Arial" w:cs="Arial" w:eastAsia="Arial" w:hAnsi="Arial"/>
          <w:sz w:val="19"/>
          <w:szCs w:val="19"/>
          <w:color w:val="auto"/>
        </w:rPr>
      </w:pPr>
    </w:p>
    <w:p>
      <w:pPr>
        <w:jc w:val="both"/>
        <w:ind w:left="652" w:hanging="652"/>
        <w:spacing w:after="0" w:line="292" w:lineRule="auto"/>
        <w:tabs>
          <w:tab w:leader="none" w:pos="640"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 xml:space="preserve">Circumstances of All Payment Obligations. </w:t>
      </w:r>
      <w:r>
        <w:rPr>
          <w:rFonts w:ascii="Arial" w:cs="Arial" w:eastAsia="Arial" w:hAnsi="Arial"/>
          <w:sz w:val="19"/>
          <w:szCs w:val="19"/>
          <w:color w:val="auto"/>
        </w:rPr>
        <w:t>The Counterparty shall be obligated to make a payment to the Capital</w:t>
      </w:r>
      <w:r>
        <w:rPr>
          <w:rFonts w:ascii="Arial" w:cs="Arial" w:eastAsia="Arial" w:hAnsi="Arial"/>
          <w:sz w:val="19"/>
          <w:szCs w:val="19"/>
          <w:i w:val="1"/>
          <w:iCs w:val="1"/>
          <w:color w:val="auto"/>
        </w:rPr>
        <w:t xml:space="preserve"> </w:t>
      </w:r>
      <w:r>
        <w:rPr>
          <w:rFonts w:ascii="Arial" w:cs="Arial" w:eastAsia="Arial" w:hAnsi="Arial"/>
          <w:sz w:val="19"/>
          <w:szCs w:val="19"/>
          <w:color w:val="auto"/>
        </w:rPr>
        <w:t>Provider hereunder only upon (i) the receipt of Proceeds, (ii) an award of Proceeds that, due to a set-off (for counterclaims or any other reason) relating to actions taken by the Counterparty prior to the Closing Date, does not result in a receivable from the Adverse Party but is a positive amount pursuant to clause (v) of the definition of “Proceeds” herein (also deemed a “receipt” by the Counterparty of Proceeds hereunder), or (</w:t>
      </w:r>
      <w:r>
        <w:rPr>
          <w:rFonts w:ascii="Arial" w:cs="Arial" w:eastAsia="Arial" w:hAnsi="Arial"/>
          <w:sz w:val="19"/>
          <w:szCs w:val="19"/>
          <w:u w:val="single" w:color="auto"/>
          <w:color w:val="auto"/>
        </w:rPr>
        <w:t>iii</w:t>
      </w:r>
      <w:r>
        <w:rPr>
          <w:rFonts w:ascii="Arial" w:cs="Arial" w:eastAsia="Arial" w:hAnsi="Arial"/>
          <w:sz w:val="19"/>
          <w:szCs w:val="19"/>
          <w:color w:val="auto"/>
        </w:rPr>
        <w:t>) a nonrecourse payment obligation to remit any payments received under Section 10(c). Such payment obligation shall be absolute and unconditional and shall not under any circumstances (including a dispute about the payment) be delayed, suspended or avoided.</w:t>
      </w:r>
    </w:p>
    <w:p>
      <w:pPr>
        <w:spacing w:after="0" w:line="150" w:lineRule="exact"/>
        <w:rPr>
          <w:rFonts w:ascii="Arial" w:cs="Arial" w:eastAsia="Arial" w:hAnsi="Arial"/>
          <w:sz w:val="19"/>
          <w:szCs w:val="19"/>
          <w:color w:val="auto"/>
        </w:rPr>
      </w:pPr>
    </w:p>
    <w:p>
      <w:pPr>
        <w:ind w:left="652" w:right="20" w:hanging="652"/>
        <w:spacing w:after="0" w:line="263" w:lineRule="auto"/>
        <w:tabs>
          <w:tab w:leader="none" w:pos="643"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Each payment to a party required under this Agreement shall be made to the payment account for such party specified on </w:t>
      </w:r>
      <w:r>
        <w:rPr>
          <w:rFonts w:ascii="Arial" w:cs="Arial" w:eastAsia="Arial" w:hAnsi="Arial"/>
          <w:sz w:val="22"/>
          <w:szCs w:val="22"/>
          <w:u w:val="single" w:color="auto"/>
          <w:color w:val="auto"/>
        </w:rPr>
        <w:t>Annex 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52"/>
        <w:spacing w:after="0"/>
        <w:rPr>
          <w:sz w:val="20"/>
          <w:szCs w:val="20"/>
          <w:color w:val="auto"/>
        </w:rPr>
      </w:pPr>
      <w:r>
        <w:rPr>
          <w:rFonts w:ascii="Arial" w:cs="Arial" w:eastAsia="Arial" w:hAnsi="Arial"/>
          <w:sz w:val="11"/>
          <w:szCs w:val="11"/>
          <w:color w:val="auto"/>
        </w:rPr>
        <w:t>Page 2</w:t>
      </w:r>
    </w:p>
    <w:p>
      <w:pPr>
        <w:sectPr>
          <w:pgSz w:w="11900" w:h="16838" w:orient="portrait"/>
          <w:cols w:equalWidth="0" w:num="1">
            <w:col w:w="11232"/>
          </w:cols>
          <w:pgMar w:left="328" w:top="1427" w:right="339" w:bottom="1440" w:gutter="0" w:footer="0" w:header="0"/>
        </w:sectPr>
      </w:pPr>
    </w:p>
    <w:bookmarkStart w:id="146" w:name="page147"/>
    <w:bookmarkEnd w:id="146"/>
    <w:p>
      <w:pPr>
        <w:ind w:left="660" w:hanging="652"/>
        <w:spacing w:after="0"/>
        <w:tabs>
          <w:tab w:leader="none" w:pos="6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Covenants</w:t>
      </w:r>
    </w:p>
    <w:p>
      <w:pPr>
        <w:spacing w:after="0" w:line="220"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Covenants of Each Party</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Each of the Counterparty, on the one hand, and the Capital Provider, on the other hand, agrees that, so long as such party has or may have any obligation under this Agreement or any other Transaction Document to the other:</w:t>
      </w:r>
    </w:p>
    <w:p>
      <w:pPr>
        <w:spacing w:after="0" w:line="175"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Until such time as the Assignment is executed and delivered, it shall preserve and continue its corporate existence, except</w:t>
      </w:r>
    </w:p>
    <w:p>
      <w:pPr>
        <w:spacing w:after="0" w:line="55" w:lineRule="exact"/>
        <w:rPr>
          <w:rFonts w:ascii="Arial" w:cs="Arial" w:eastAsia="Arial" w:hAnsi="Arial"/>
          <w:sz w:val="19"/>
          <w:szCs w:val="19"/>
          <w:color w:val="auto"/>
        </w:rPr>
      </w:pPr>
    </w:p>
    <w:p>
      <w:pPr>
        <w:jc w:val="both"/>
        <w:ind w:left="660" w:hanging="4"/>
        <w:spacing w:after="0" w:line="244" w:lineRule="auto"/>
        <w:tabs>
          <w:tab w:leader="none" w:pos="93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that the Capital Provider acknowledges and agrees that the Counterparty has approved the liquidation and dissolution of the Counterparty pursuant to a plan of dissolution and intends to file a Certificate of Dissolution with the Secretary of State of the State of Delaware in January 2021; and (ii) to the extent that the failure to do so would not have a Material Adverse Effect.</w:t>
      </w:r>
    </w:p>
    <w:p>
      <w:pPr>
        <w:spacing w:after="0" w:line="195" w:lineRule="exact"/>
        <w:rPr>
          <w:rFonts w:ascii="Arial" w:cs="Arial" w:eastAsia="Arial" w:hAnsi="Arial"/>
          <w:sz w:val="22"/>
          <w:szCs w:val="22"/>
          <w:color w:val="auto"/>
        </w:rPr>
      </w:pPr>
    </w:p>
    <w:p>
      <w:pPr>
        <w:jc w:val="both"/>
        <w:ind w:left="660" w:hanging="652"/>
        <w:spacing w:after="0" w:line="259" w:lineRule="auto"/>
        <w:tabs>
          <w:tab w:leader="none" w:pos="660" w:val="left"/>
        </w:tabs>
        <w:numPr>
          <w:ilvl w:val="0"/>
          <w:numId w:val="85"/>
        </w:numPr>
        <w:rPr>
          <w:rFonts w:ascii="Arial" w:cs="Arial" w:eastAsia="Arial" w:hAnsi="Arial"/>
          <w:sz w:val="21"/>
          <w:szCs w:val="21"/>
          <w:color w:val="auto"/>
        </w:rPr>
      </w:pPr>
      <w:r>
        <w:rPr>
          <w:rFonts w:ascii="Arial" w:cs="Arial" w:eastAsia="Arial" w:hAnsi="Arial"/>
          <w:sz w:val="21"/>
          <w:szCs w:val="21"/>
          <w:color w:val="auto"/>
        </w:rPr>
        <w:t>It shall use all reasonable efforts to maintain in full force and effect all consents, approvals, actions, authorizations, exceptions, notices, filings and registrations of or with any Governmental Authority that are required to be obtained by it with respect to this Agreement or any other Transaction Document and shall use all reasonable efforts to obtain any that may become necessary in the future; provided that, (i) the Capital Provider acknowledges and agrees that the Counterparty has approved the liquidation and dissolution of the Counterparty pursuant to a plan of dissolution and acknowledges and agrees that the Counterparty intends to file a Certificate of Dissolution with the Secretary of State of the State of Delaware in January 2021 and (ii) in the case of the Counterparty, if such efforts relate to the Claim or the Settlement Agreement and are taken at the instruction of the Capital Provider, they shall be at the expense of the Capital Provider.</w:t>
      </w:r>
    </w:p>
    <w:p>
      <w:pPr>
        <w:spacing w:after="0" w:line="179" w:lineRule="exact"/>
        <w:rPr>
          <w:rFonts w:ascii="Arial" w:cs="Arial" w:eastAsia="Arial" w:hAnsi="Arial"/>
          <w:sz w:val="21"/>
          <w:szCs w:val="21"/>
          <w:color w:val="auto"/>
        </w:rPr>
      </w:pPr>
    </w:p>
    <w:p>
      <w:pPr>
        <w:ind w:left="660" w:hanging="652"/>
        <w:spacing w:after="0" w:line="343" w:lineRule="auto"/>
        <w:tabs>
          <w:tab w:leader="none" w:pos="648" w:val="left"/>
        </w:tabs>
        <w:numPr>
          <w:ilvl w:val="0"/>
          <w:numId w:val="85"/>
        </w:numPr>
        <w:rPr>
          <w:rFonts w:ascii="Arial" w:cs="Arial" w:eastAsia="Arial" w:hAnsi="Arial"/>
          <w:sz w:val="19"/>
          <w:szCs w:val="19"/>
          <w:color w:val="auto"/>
        </w:rPr>
      </w:pPr>
      <w:r>
        <w:rPr>
          <w:rFonts w:ascii="Arial" w:cs="Arial" w:eastAsia="Arial" w:hAnsi="Arial"/>
          <w:sz w:val="19"/>
          <w:szCs w:val="19"/>
          <w:color w:val="auto"/>
        </w:rPr>
        <w:t>It shall comply with all applicable laws and orders of any Governmental Authority to which it may be subject if failure so to comply would reasonably be expected, either individually or in the aggregate, to have a Material Adverse Effect.</w:t>
      </w:r>
    </w:p>
    <w:p>
      <w:pPr>
        <w:spacing w:after="0" w:line="9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Covenants of the Counterparty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Counterparty agrees with the Capital Provider that, until the Assignment has been executed and delivered:</w:t>
      </w:r>
    </w:p>
    <w:p>
      <w:pPr>
        <w:spacing w:after="0" w:line="220" w:lineRule="exact"/>
        <w:rPr>
          <w:sz w:val="20"/>
          <w:szCs w:val="20"/>
          <w:color w:val="auto"/>
        </w:rPr>
      </w:pPr>
    </w:p>
    <w:p>
      <w:pPr>
        <w:ind w:left="660" w:hanging="652"/>
        <w:spacing w:after="0" w:line="263" w:lineRule="auto"/>
        <w:tabs>
          <w:tab w:leader="none" w:pos="6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Subject to Section 28 of the Settlement Agreement, the Counterparty shall provide the Capital Provider with material records and documentation relating to the Settlement Agreement and the Claim.</w:t>
      </w:r>
    </w:p>
    <w:p>
      <w:pPr>
        <w:spacing w:after="0" w:line="174"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Counterparty shall not [***] (ii) dispose of, transfer, encumber or assign, nor otherwise create, incur or assume any Adverse Claim with respect to, all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421" w:right="339" w:bottom="1440" w:gutter="0" w:footer="0" w:header="0"/>
        </w:sectPr>
      </w:pPr>
    </w:p>
    <w:bookmarkStart w:id="147" w:name="page148"/>
    <w:bookmarkEnd w:id="147"/>
    <w:p>
      <w:pPr>
        <w:jc w:val="both"/>
        <w:ind w:left="652"/>
        <w:spacing w:after="0" w:line="253" w:lineRule="auto"/>
        <w:rPr>
          <w:sz w:val="20"/>
          <w:szCs w:val="20"/>
          <w:color w:val="auto"/>
        </w:rPr>
      </w:pPr>
      <w:r>
        <w:rPr>
          <w:rFonts w:ascii="Arial" w:cs="Arial" w:eastAsia="Arial" w:hAnsi="Arial"/>
          <w:sz w:val="22"/>
          <w:szCs w:val="22"/>
          <w:color w:val="auto"/>
        </w:rPr>
        <w:t>portion of the Claim (or any interest therein), the Settlement Agreement or any Proceeds thereof (or any right to such Proceeds); or (iii) set off or agree to set off any amounts against the Claim or the Settlement Agreement or any Proceeds thereof (or any right to such Proceeds).</w:t>
      </w:r>
    </w:p>
    <w:p>
      <w:pPr>
        <w:spacing w:after="0" w:line="185" w:lineRule="exact"/>
        <w:rPr>
          <w:sz w:val="20"/>
          <w:szCs w:val="20"/>
          <w:color w:val="auto"/>
        </w:rPr>
      </w:pPr>
    </w:p>
    <w:p>
      <w:pPr>
        <w:jc w:val="both"/>
        <w:ind w:left="652" w:hanging="652"/>
        <w:spacing w:after="0" w:line="248" w:lineRule="auto"/>
        <w:tabs>
          <w:tab w:leader="none" w:pos="6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Subject to Section 8.4, the Counterparty shall itself or cause the Nominated Lawyers to, (A) until such time as the Assignment is executed and delivered, keep the Capital Provider fully and promptly apprised of material developments in relation to the Claim and the Settlement Agreement and (B) respond promptly to reasonable requests by the Capital Provider or its Affiliates or Representatives for information regarding the Claim and the Settlement Agreement, subject to Section 28 of the Settlement Agreement;</w:t>
      </w:r>
    </w:p>
    <w:p>
      <w:pPr>
        <w:spacing w:after="0" w:line="191" w:lineRule="exact"/>
        <w:rPr>
          <w:rFonts w:ascii="Arial" w:cs="Arial" w:eastAsia="Arial" w:hAnsi="Arial"/>
          <w:sz w:val="22"/>
          <w:szCs w:val="22"/>
          <w:color w:val="auto"/>
        </w:rPr>
      </w:pPr>
    </w:p>
    <w:p>
      <w:pPr>
        <w:jc w:val="both"/>
        <w:ind w:left="652" w:hanging="652"/>
        <w:spacing w:after="0" w:line="247" w:lineRule="auto"/>
        <w:tabs>
          <w:tab w:leader="none" w:pos="652"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Counterparty shall from time to time provide such information regarding the wind down and dissolution of the Counterparty as the Capital Provider may reasonably request and shall deliver to the Capital Provider written notice of the date of the filing by the Counterparty of a Certificate of Dissolution with the Secretary of State of the State of Delaware; and shall permit any representatives designated by the Capital Provider, upon reasonable prior notice and at reasonable times, to discuss such matters with those of the Counterparty’s directors, officers and employees having substantial knowledge of such matters.</w:t>
      </w:r>
    </w:p>
    <w:p>
      <w:pPr>
        <w:spacing w:after="0" w:line="192" w:lineRule="exact"/>
        <w:rPr>
          <w:rFonts w:ascii="Arial" w:cs="Arial" w:eastAsia="Arial" w:hAnsi="Arial"/>
          <w:sz w:val="22"/>
          <w:szCs w:val="22"/>
          <w:color w:val="auto"/>
        </w:rPr>
      </w:pPr>
    </w:p>
    <w:p>
      <w:pPr>
        <w:jc w:val="both"/>
        <w:ind w:left="652" w:hanging="652"/>
        <w:spacing w:after="0" w:line="290" w:lineRule="auto"/>
        <w:tabs>
          <w:tab w:leader="none" w:pos="6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Until the Assignment is executed and delivered, the Counterparty shall keep the Capital Provider fully and promptly apprised of material developments relating to any PDL/Wellstat Security Interest, any PDL/Wellstat Collateral Document or any PDL/Wellstat Financing Statement and the Counterparty shall upon the written instruction of the Capital Provider take reasonable actions requested by Capital Provider to maintain the effectiveness of (i) each PDL/Wellstat Security Interest; (ii) each PDL/Wellstat Collateral Document; and (iii) each PDL/Wellstat Financing Statement (for the avoidance of doubt, the Counterparty shall have no obligation to take any such action other than pursuant to the Capital Provider’s written instruction); and the Counterparty shall not, without the Capital Provider’s prior written consent permit any amendments to (iii) a PDL/Wellstat Collateral Document or (iv) a PDL/Wellstat Financing Statement.</w:t>
      </w:r>
    </w:p>
    <w:p>
      <w:pPr>
        <w:spacing w:after="0" w:line="150" w:lineRule="exact"/>
        <w:rPr>
          <w:sz w:val="20"/>
          <w:szCs w:val="20"/>
          <w:color w:val="auto"/>
        </w:rPr>
      </w:pPr>
    </w:p>
    <w:p>
      <w:pPr>
        <w:ind w:left="332"/>
        <w:spacing w:after="0"/>
        <w:tabs>
          <w:tab w:leader="none" w:pos="792"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Enforcement and Collection of the Claim; Assignment</w:t>
      </w:r>
    </w:p>
    <w:p>
      <w:pPr>
        <w:spacing w:after="0" w:line="226" w:lineRule="exact"/>
        <w:rPr>
          <w:sz w:val="20"/>
          <w:szCs w:val="20"/>
          <w:color w:val="auto"/>
        </w:rPr>
      </w:pPr>
    </w:p>
    <w:p>
      <w:pPr>
        <w:jc w:val="both"/>
        <w:ind w:left="652" w:hanging="652"/>
        <w:spacing w:after="0" w:line="302" w:lineRule="auto"/>
        <w:tabs>
          <w:tab w:leader="none" w:pos="6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parties agree that the Capital Provider shall have the sole and exclusive right, authority and discretion to enforce and collect the Claim and/or the Settlement Agreement and/or any Proceeds thereof, at the Capital Provider’s sole expense, if, subject to the provisions of Section 12(b) of the Settlement Agreement, the Adverse Parties fail to make the Scheduled Final Payment under the Settlement Agreement by 11:59 AM EST on July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852"/>
        <w:spacing w:after="0"/>
        <w:rPr>
          <w:sz w:val="20"/>
          <w:szCs w:val="20"/>
          <w:color w:val="auto"/>
        </w:rPr>
      </w:pPr>
      <w:r>
        <w:rPr>
          <w:rFonts w:ascii="Arial" w:cs="Arial" w:eastAsia="Arial" w:hAnsi="Arial"/>
          <w:sz w:val="11"/>
          <w:szCs w:val="11"/>
          <w:color w:val="auto"/>
        </w:rPr>
        <w:t>Page 4</w:t>
      </w:r>
    </w:p>
    <w:p>
      <w:pPr>
        <w:sectPr>
          <w:pgSz w:w="11900" w:h="16838" w:orient="portrait"/>
          <w:cols w:equalWidth="0" w:num="1">
            <w:col w:w="11232"/>
          </w:cols>
          <w:pgMar w:left="328" w:top="1427" w:right="339" w:bottom="1440" w:gutter="0" w:footer="0" w:header="0"/>
        </w:sectPr>
      </w:pPr>
    </w:p>
    <w:bookmarkStart w:id="148" w:name="page149"/>
    <w:bookmarkEnd w:id="148"/>
    <w:p>
      <w:pPr>
        <w:jc w:val="both"/>
        <w:ind w:left="660" w:hanging="652"/>
        <w:spacing w:after="0" w:line="291" w:lineRule="auto"/>
        <w:tabs>
          <w:tab w:leader="none" w:pos="6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If the Adverse Parties fail to make the Scheduled Final Payment under the Settlement Agreement by 11:59 AM EST on July 26, 2021, subject to the provisions of Section 12(b) of the Settlement Agreement, the Counterparty agrees to [***]</w:t>
      </w:r>
    </w:p>
    <w:p>
      <w:pPr>
        <w:spacing w:after="0" w:line="1"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19"/>
          <w:szCs w:val="19"/>
          <w:color w:val="auto"/>
        </w:rPr>
        <w:t>(2) execute and deliver the Assignment to the Capital Provider, and (3) take all such other action as may be necessary or appropriate to effectuate the Assignment as reasonably directed by the Capital Provider; and (ii) as soon as practicable, and in any event within three (3) Business Days of the execution of the Assignment and directed by the Capital Provider, notify the Escrow Agent of the assignment of the Counterparty’s interests to the Capital Provider and assist the Capital Provider, to the extent necessary, in delivering replacement PDL Instruments to the Escrow Agent pursuant to paragraph 30 of the Settlement Agreement. Until such time as the Assignment is executed and delivered, the Capital Provider agrees with the Counterparty that the Capital Provider is not a party to the Claim or the Settlement Agreement.</w:t>
      </w:r>
    </w:p>
    <w:p>
      <w:pPr>
        <w:spacing w:after="0" w:line="158" w:lineRule="exact"/>
        <w:rPr>
          <w:rFonts w:ascii="Arial" w:cs="Arial" w:eastAsia="Arial" w:hAnsi="Arial"/>
          <w:sz w:val="19"/>
          <w:szCs w:val="19"/>
          <w:color w:val="auto"/>
        </w:rPr>
      </w:pPr>
    </w:p>
    <w:p>
      <w:pPr>
        <w:jc w:val="both"/>
        <w:ind w:left="660" w:hanging="652"/>
        <w:spacing w:after="0" w:line="289" w:lineRule="auto"/>
        <w:tabs>
          <w:tab w:leader="none" w:pos="648" w:val="left"/>
        </w:tabs>
        <w:numPr>
          <w:ilvl w:val="0"/>
          <w:numId w:val="89"/>
        </w:numPr>
        <w:rPr>
          <w:rFonts w:ascii="Arial" w:cs="Arial" w:eastAsia="Arial" w:hAnsi="Arial"/>
          <w:sz w:val="19"/>
          <w:szCs w:val="19"/>
          <w:color w:val="auto"/>
        </w:rPr>
      </w:pPr>
      <w:r>
        <w:rPr>
          <w:rFonts w:ascii="Arial" w:cs="Arial" w:eastAsia="Arial" w:hAnsi="Arial"/>
          <w:sz w:val="19"/>
          <w:szCs w:val="19"/>
          <w:color w:val="auto"/>
        </w:rPr>
        <w:t>Until the date that is three years from the filing of the Certificate of Dissolution by the Counterparty, the Counterparty shall cooperate, before and after the execution of the Assignment, at the reasonable request of the Capital Provider and at the Capital Provider’s expense, with the Capital Provider and its Representatives in all matters pertaining to collecting and enforcing the Claim and/or the Settlement Agreement and/or any Proceeds thereof, including, without limitation, by providing all pertinent records, documentation and other information reasonably requested to the Capital Provider (in each case subject to Section 28 of the Settlement Agreement if prior to the execution and delivery of the Assignment), and, upon reasonable notice, making employees, officers or consultants engaged by the Counterparty available to the Capital Provider or its representatives for interviews, to provide affidavits or other written statements and to appear and testify at any hearings relating to the collection and enforcement of the Claim and the Settlement Agreement.</w:t>
      </w:r>
    </w:p>
    <w:p>
      <w:pPr>
        <w:spacing w:after="0" w:line="156" w:lineRule="exact"/>
        <w:rPr>
          <w:rFonts w:ascii="Arial" w:cs="Arial" w:eastAsia="Arial" w:hAnsi="Arial"/>
          <w:sz w:val="19"/>
          <w:szCs w:val="19"/>
          <w:color w:val="auto"/>
        </w:rPr>
      </w:pPr>
    </w:p>
    <w:p>
      <w:pPr>
        <w:jc w:val="both"/>
        <w:ind w:left="660" w:hanging="652"/>
        <w:spacing w:after="0" w:line="250" w:lineRule="auto"/>
        <w:tabs>
          <w:tab w:leader="none" w:pos="6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Counterparty agrees to execute, acknowledge and deliver all such further certificates, instruments and other documents, and take all such further action, each as requested by the Capital Provider, as may reasonably be necessary or appropriate to effect the agreements set forth in this Agreement and allow the Capital Provider to secure the full benefit of this Agreement and the Assignment.</w:t>
      </w:r>
    </w:p>
    <w:p>
      <w:pPr>
        <w:spacing w:after="0" w:line="182"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w:t>
      </w:r>
    </w:p>
    <w:p>
      <w:pPr>
        <w:spacing w:after="0" w:line="220"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Representations and Warranties of Each Party</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On each Representation Date, the Counterparty, on the one hand, and the Capital Provider, on the other hand, represents and warrants to the other as follows:</w:t>
      </w:r>
    </w:p>
    <w:p>
      <w:pPr>
        <w:spacing w:after="0" w:line="175" w:lineRule="exact"/>
        <w:rPr>
          <w:sz w:val="20"/>
          <w:szCs w:val="20"/>
          <w:color w:val="auto"/>
        </w:rPr>
      </w:pPr>
    </w:p>
    <w:p>
      <w:pPr>
        <w:ind w:left="660" w:right="20" w:hanging="652"/>
        <w:spacing w:after="0" w:line="263" w:lineRule="auto"/>
        <w:tabs>
          <w:tab w:leader="none" w:pos="648" w:val="left"/>
        </w:tabs>
        <w:numPr>
          <w:ilvl w:val="0"/>
          <w:numId w:val="91"/>
        </w:numPr>
        <w:rPr>
          <w:rFonts w:ascii="Arial" w:cs="Arial" w:eastAsia="Arial" w:hAnsi="Arial"/>
          <w:sz w:val="22"/>
          <w:szCs w:val="22"/>
          <w:color w:val="auto"/>
        </w:rPr>
      </w:pPr>
      <w:r>
        <w:rPr>
          <w:rFonts w:ascii="Arial" w:cs="Arial" w:eastAsia="Arial" w:hAnsi="Arial"/>
          <w:sz w:val="22"/>
          <w:szCs w:val="22"/>
          <w:color w:val="auto"/>
        </w:rPr>
        <w:t>It (i) is duly organized or formed and validly existing under the laws of the jurisdiction of its organization or formation and, if relevant under such laws,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860"/>
        <w:spacing w:after="0"/>
        <w:rPr>
          <w:sz w:val="20"/>
          <w:szCs w:val="20"/>
          <w:color w:val="auto"/>
        </w:rPr>
      </w:pPr>
      <w:r>
        <w:rPr>
          <w:rFonts w:ascii="Arial" w:cs="Arial" w:eastAsia="Arial" w:hAnsi="Arial"/>
          <w:sz w:val="11"/>
          <w:szCs w:val="11"/>
          <w:color w:val="auto"/>
        </w:rPr>
        <w:t>Page 5</w:t>
      </w:r>
    </w:p>
    <w:p>
      <w:pPr>
        <w:sectPr>
          <w:pgSz w:w="11900" w:h="16838" w:orient="portrait"/>
          <w:cols w:equalWidth="0" w:num="1">
            <w:col w:w="11240"/>
          </w:cols>
          <w:pgMar w:left="320" w:top="1427" w:right="339" w:bottom="1440" w:gutter="0" w:footer="0" w:header="0"/>
        </w:sectPr>
      </w:pPr>
    </w:p>
    <w:bookmarkStart w:id="149" w:name="page150"/>
    <w:bookmarkEnd w:id="149"/>
    <w:p>
      <w:pPr>
        <w:jc w:val="both"/>
        <w:ind w:left="660"/>
        <w:spacing w:after="0" w:line="248" w:lineRule="auto"/>
        <w:rPr>
          <w:sz w:val="20"/>
          <w:szCs w:val="20"/>
          <w:color w:val="auto"/>
        </w:rPr>
      </w:pPr>
      <w:r>
        <w:rPr>
          <w:rFonts w:ascii="Arial" w:cs="Arial" w:eastAsia="Arial" w:hAnsi="Arial"/>
          <w:sz w:val="22"/>
          <w:szCs w:val="22"/>
          <w:color w:val="auto"/>
        </w:rPr>
        <w:t>good standing, and (ii) is qualified to do business in each jurisdiction in which the nature of its business so requires, except where the failure to be so qualified would not reasonably be likely to result in a Material Adverse Effect. The Capital Provider acknowledges and agrees that the Counterparty has approved the liquidation and dissolution of the Counterparty pursuant to a plan of dissolution and intends to file a Certificate of Dissolution with the Secretary of State of the State of Delaware in January 2021.</w:t>
      </w:r>
    </w:p>
    <w:p>
      <w:pPr>
        <w:spacing w:after="0" w:line="192" w:lineRule="exact"/>
        <w:rPr>
          <w:sz w:val="20"/>
          <w:szCs w:val="20"/>
          <w:color w:val="auto"/>
        </w:rPr>
      </w:pPr>
    </w:p>
    <w:p>
      <w:pPr>
        <w:jc w:val="both"/>
        <w:ind w:left="660" w:hanging="652"/>
        <w:spacing w:after="0" w:line="265" w:lineRule="auto"/>
        <w:tabs>
          <w:tab w:leader="none" w:pos="660" w:val="left"/>
        </w:tabs>
        <w:numPr>
          <w:ilvl w:val="0"/>
          <w:numId w:val="92"/>
        </w:numPr>
        <w:rPr>
          <w:rFonts w:ascii="Arial" w:cs="Arial" w:eastAsia="Arial" w:hAnsi="Arial"/>
          <w:sz w:val="21"/>
          <w:szCs w:val="21"/>
          <w:color w:val="auto"/>
        </w:rPr>
      </w:pPr>
      <w:r>
        <w:rPr>
          <w:rFonts w:ascii="Arial" w:cs="Arial" w:eastAsia="Arial" w:hAnsi="Arial"/>
          <w:sz w:val="21"/>
          <w:szCs w:val="21"/>
          <w:color w:val="auto"/>
        </w:rPr>
        <w:t>It has the power to execute this Agreement and the other Transaction Documents to which it is a party, to deliver this Agreement and the other Transaction Documents it is required by this Agreement to deliver, and to perform its obligations under this Agreement and the other Transaction Documents; and it has taken all necessary corporate or limited liability company action to authorize such execution, delivery and performance.</w:t>
      </w:r>
    </w:p>
    <w:p>
      <w:pPr>
        <w:spacing w:after="0" w:line="175" w:lineRule="exact"/>
        <w:rPr>
          <w:rFonts w:ascii="Arial" w:cs="Arial" w:eastAsia="Arial" w:hAnsi="Arial"/>
          <w:sz w:val="21"/>
          <w:szCs w:val="21"/>
          <w:color w:val="auto"/>
        </w:rPr>
      </w:pPr>
    </w:p>
    <w:p>
      <w:pPr>
        <w:jc w:val="both"/>
        <w:ind w:left="660" w:hanging="652"/>
        <w:spacing w:after="0" w:line="263" w:lineRule="auto"/>
        <w:tabs>
          <w:tab w:leader="none" w:pos="648" w:val="left"/>
        </w:tabs>
        <w:numPr>
          <w:ilvl w:val="0"/>
          <w:numId w:val="92"/>
        </w:numPr>
        <w:rPr>
          <w:rFonts w:ascii="Arial" w:cs="Arial" w:eastAsia="Arial" w:hAnsi="Arial"/>
          <w:sz w:val="21"/>
          <w:szCs w:val="21"/>
          <w:color w:val="auto"/>
        </w:rPr>
      </w:pPr>
      <w:r>
        <w:rPr>
          <w:rFonts w:ascii="Arial" w:cs="Arial" w:eastAsia="Arial" w:hAnsi="Arial"/>
          <w:sz w:val="21"/>
          <w:szCs w:val="21"/>
          <w:color w:val="auto"/>
        </w:rPr>
        <w:t>Such execution, delivery and performance do not and shall not violate or conflict with (i) its certificate of incorporation, in the case of the Counterparty, or its constitutional documents, in the case of the Capital Provider, (ii) any law applicable to it, (iii) any order or judgment of any court or other Governmental Authority applicable to it or any of its assets or (iv) any contractual restriction binding on or affecting it or any of its assets, except, in the cases of clauses (ii) – (iv), to the extent any such violation or conflict would not have a Material Adverse Effect.</w:t>
      </w:r>
    </w:p>
    <w:p>
      <w:pPr>
        <w:spacing w:after="0" w:line="175" w:lineRule="exact"/>
        <w:rPr>
          <w:rFonts w:ascii="Arial" w:cs="Arial" w:eastAsia="Arial" w:hAnsi="Arial"/>
          <w:sz w:val="21"/>
          <w:szCs w:val="21"/>
          <w:color w:val="auto"/>
        </w:rPr>
      </w:pPr>
    </w:p>
    <w:p>
      <w:pPr>
        <w:jc w:val="both"/>
        <w:ind w:left="660" w:hanging="652"/>
        <w:spacing w:after="0" w:line="263" w:lineRule="auto"/>
        <w:tabs>
          <w:tab w:leader="none" w:pos="660" w:val="left"/>
        </w:tabs>
        <w:numPr>
          <w:ilvl w:val="0"/>
          <w:numId w:val="92"/>
        </w:numPr>
        <w:rPr>
          <w:rFonts w:ascii="Arial" w:cs="Arial" w:eastAsia="Arial" w:hAnsi="Arial"/>
          <w:sz w:val="21"/>
          <w:szCs w:val="21"/>
          <w:color w:val="auto"/>
        </w:rPr>
      </w:pPr>
      <w:r>
        <w:rPr>
          <w:rFonts w:ascii="Arial" w:cs="Arial" w:eastAsia="Arial" w:hAnsi="Arial"/>
          <w:sz w:val="21"/>
          <w:szCs w:val="21"/>
          <w:color w:val="auto"/>
        </w:rPr>
        <w:t>All consents, approvals, actions, authorizations, exceptions, notices, filings and registrations that are required to have been obtained by it with respect to its execution, delivery and performance of this Agreement or any other Transaction Document have been obtained and are in full force and effect, and all conditions of any such consents, approvals, actions, authorizations, exceptions, notices, filings and registrations have been complied with, except to the extent any such violation or conflict would not have a Material Adverse Effect.</w:t>
      </w:r>
    </w:p>
    <w:p>
      <w:pPr>
        <w:spacing w:after="0" w:line="175" w:lineRule="exact"/>
        <w:rPr>
          <w:rFonts w:ascii="Arial" w:cs="Arial" w:eastAsia="Arial" w:hAnsi="Arial"/>
          <w:sz w:val="21"/>
          <w:szCs w:val="21"/>
          <w:color w:val="auto"/>
        </w:rPr>
      </w:pPr>
    </w:p>
    <w:p>
      <w:pPr>
        <w:jc w:val="both"/>
        <w:ind w:left="660" w:hanging="652"/>
        <w:spacing w:after="0" w:line="253" w:lineRule="auto"/>
        <w:tabs>
          <w:tab w:leader="none" w:pos="648"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This Agreement and the other Transaction Documents constitute its legal, valid and binding obligations, enforceable in accordance with their respective terms (subject to applicable bankruptcy, reorganization or similar laws and to general equitable principles).</w:t>
      </w:r>
    </w:p>
    <w:p>
      <w:pPr>
        <w:spacing w:after="0" w:line="185" w:lineRule="exact"/>
        <w:rPr>
          <w:rFonts w:ascii="Arial" w:cs="Arial" w:eastAsia="Arial" w:hAnsi="Arial"/>
          <w:sz w:val="22"/>
          <w:szCs w:val="22"/>
          <w:color w:val="auto"/>
        </w:rPr>
      </w:pPr>
    </w:p>
    <w:p>
      <w:pPr>
        <w:jc w:val="both"/>
        <w:ind w:left="660" w:hanging="652"/>
        <w:spacing w:after="0" w:line="250" w:lineRule="auto"/>
        <w:tabs>
          <w:tab w:leader="none" w:pos="651" w:val="left"/>
        </w:tabs>
        <w:numPr>
          <w:ilvl w:val="0"/>
          <w:numId w:val="92"/>
        </w:numPr>
        <w:rPr>
          <w:rFonts w:ascii="Arial" w:cs="Arial" w:eastAsia="Arial" w:hAnsi="Arial"/>
          <w:sz w:val="22"/>
          <w:szCs w:val="22"/>
          <w:color w:val="auto"/>
        </w:rPr>
      </w:pPr>
      <w:r>
        <w:rPr>
          <w:rFonts w:ascii="Arial" w:cs="Arial" w:eastAsia="Arial" w:hAnsi="Arial"/>
          <w:sz w:val="22"/>
          <w:szCs w:val="22"/>
          <w:color w:val="auto"/>
        </w:rPr>
        <w:t>It is acting for its own account, and it has made its own independent decisions to enter into this Agreement and the other Transaction Documents, and the transactions contemplated hereby and thereby, and as to whether this Agreement and the other Transaction Documents and such transactions are appropriate or proper for it based upon its own judgment and upon advice from such advisers as it has deemed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40"/>
          </w:cols>
          <w:pgMar w:left="320" w:top="1427" w:right="339" w:bottom="1440" w:gutter="0" w:footer="0" w:header="0"/>
        </w:sectPr>
      </w:pPr>
    </w:p>
    <w:bookmarkStart w:id="150" w:name="page151"/>
    <w:bookmarkEnd w:id="150"/>
    <w:p>
      <w:pPr>
        <w:jc w:val="both"/>
        <w:ind w:left="660" w:hanging="652"/>
        <w:spacing w:after="0" w:line="253" w:lineRule="auto"/>
        <w:tabs>
          <w:tab w:leader="none" w:pos="6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 communication (written or oral) received from the other party shall be deemed to be an assurance or guarantee as to the expected results of this Agreement or any other Transaction Document, or any of the transactions contemplated hereby or thereby.</w:t>
      </w:r>
    </w:p>
    <w:p>
      <w:pPr>
        <w:spacing w:after="0" w:line="185"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It is capable of assessing the merits of and understanding (on its own behalf or through independent professional legal advice), and understands and accepts, the terms, conditions and risks of this Agreement and the other Transaction Documents, and the transactions contemplated hereby and thereby.</w:t>
      </w:r>
    </w:p>
    <w:p>
      <w:pPr>
        <w:spacing w:after="0" w:line="185" w:lineRule="exact"/>
        <w:rPr>
          <w:rFonts w:ascii="Arial" w:cs="Arial" w:eastAsia="Arial" w:hAnsi="Arial"/>
          <w:sz w:val="22"/>
          <w:szCs w:val="22"/>
          <w:color w:val="auto"/>
        </w:rPr>
      </w:pPr>
    </w:p>
    <w:p>
      <w:pPr>
        <w:jc w:val="both"/>
        <w:ind w:left="660" w:hanging="652"/>
        <w:spacing w:after="0" w:line="248" w:lineRule="auto"/>
        <w:tabs>
          <w:tab w:leader="none" w:pos="652" w:val="left"/>
        </w:tabs>
        <w:numPr>
          <w:ilvl w:val="0"/>
          <w:numId w:val="93"/>
        </w:numPr>
        <w:rPr>
          <w:rFonts w:ascii="Arial" w:cs="Arial" w:eastAsia="Arial" w:hAnsi="Arial"/>
          <w:sz w:val="22"/>
          <w:szCs w:val="22"/>
          <w:color w:val="auto"/>
        </w:rPr>
      </w:pPr>
      <w:r>
        <w:rPr>
          <w:rFonts w:ascii="Arial" w:cs="Arial" w:eastAsia="Arial" w:hAnsi="Arial"/>
          <w:sz w:val="22"/>
          <w:szCs w:val="22"/>
          <w:color w:val="auto"/>
        </w:rPr>
        <w:t>It is not relying on any communication (written or oral) of the other party or any of its Affiliates as legal advice or as a recommendation to enter into this Agreement or any other Transaction Document, or any of the transactions contemplated hereby or thereby, it being understood that information and explanations related to the terms and conditions of this Agreement and the other Transaction Documents, and the transactions contemplated hereby and thereby, shall not be considered legal advice or as such a recommendation.</w:t>
      </w:r>
    </w:p>
    <w:p>
      <w:pPr>
        <w:spacing w:after="0" w:line="186"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Representations and Warranties of the Counterparty</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On each Representation Date (except as otherwise specifically provided below), the Counterparty represents and warrants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Capital Provider as follows:</w:t>
      </w:r>
    </w:p>
    <w:p>
      <w:pPr>
        <w:spacing w:after="0" w:line="202" w:lineRule="exact"/>
        <w:rPr>
          <w:sz w:val="20"/>
          <w:szCs w:val="20"/>
          <w:color w:val="auto"/>
        </w:rPr>
      </w:pPr>
    </w:p>
    <w:p>
      <w:pPr>
        <w:jc w:val="both"/>
        <w:ind w:left="660" w:hanging="652"/>
        <w:spacing w:after="0" w:line="265" w:lineRule="auto"/>
        <w:tabs>
          <w:tab w:leader="none" w:pos="648" w:val="left"/>
        </w:tabs>
        <w:numPr>
          <w:ilvl w:val="0"/>
          <w:numId w:val="94"/>
        </w:numPr>
        <w:rPr>
          <w:rFonts w:ascii="Arial" w:cs="Arial" w:eastAsia="Arial" w:hAnsi="Arial"/>
          <w:sz w:val="21"/>
          <w:szCs w:val="21"/>
          <w:color w:val="auto"/>
        </w:rPr>
      </w:pPr>
      <w:r>
        <w:rPr>
          <w:rFonts w:ascii="Arial" w:cs="Arial" w:eastAsia="Arial" w:hAnsi="Arial"/>
          <w:sz w:val="21"/>
          <w:szCs w:val="21"/>
          <w:color w:val="auto"/>
        </w:rPr>
        <w:t>No litigation or other proceedings before any court or other Governmental Authority, official, tribunal or arbitrator that would reasonably be expected, either individually or in the aggregate, to have a Material Adverse Effect, have been commenced by or against the Counterparty or, to the best of the Counterparty’s knowledge, are threatened against, the Counterparty or any collateral granted under Section 6 of this Agreement.</w:t>
      </w:r>
    </w:p>
    <w:p>
      <w:pPr>
        <w:spacing w:after="0" w:line="175" w:lineRule="exact"/>
        <w:rPr>
          <w:rFonts w:ascii="Arial" w:cs="Arial" w:eastAsia="Arial" w:hAnsi="Arial"/>
          <w:sz w:val="21"/>
          <w:szCs w:val="21"/>
          <w:color w:val="auto"/>
        </w:rPr>
      </w:pPr>
    </w:p>
    <w:p>
      <w:pPr>
        <w:ind w:left="660" w:right="20" w:hanging="652"/>
        <w:spacing w:after="0" w:line="263" w:lineRule="auto"/>
        <w:tabs>
          <w:tab w:leader="none" w:pos="6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It is not insolvent, is not in the zone of insolvency, is able to pay its debts when due and has no insolvency proceedings threatened or outstanding against it.</w:t>
      </w:r>
    </w:p>
    <w:p>
      <w:pPr>
        <w:spacing w:after="0" w:line="174" w:lineRule="exact"/>
        <w:rPr>
          <w:rFonts w:ascii="Arial" w:cs="Arial" w:eastAsia="Arial" w:hAnsi="Arial"/>
          <w:sz w:val="22"/>
          <w:szCs w:val="22"/>
          <w:color w:val="auto"/>
        </w:rPr>
      </w:pPr>
    </w:p>
    <w:p>
      <w:pPr>
        <w:ind w:left="640" w:hanging="632"/>
        <w:spacing w:after="0"/>
        <w:tabs>
          <w:tab w:leader="none" w:pos="6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With respect to each Claim and the Settlement Agreement:</w:t>
      </w:r>
    </w:p>
    <w:p>
      <w:pPr>
        <w:spacing w:after="0" w:line="219" w:lineRule="exact"/>
        <w:rPr>
          <w:rFonts w:ascii="Arial" w:cs="Arial" w:eastAsia="Arial" w:hAnsi="Arial"/>
          <w:sz w:val="22"/>
          <w:szCs w:val="22"/>
          <w:color w:val="auto"/>
        </w:rPr>
      </w:pPr>
    </w:p>
    <w:p>
      <w:pPr>
        <w:ind w:left="1300" w:hanging="194"/>
        <w:spacing w:after="0" w:line="263" w:lineRule="auto"/>
        <w:rPr>
          <w:rFonts w:ascii="Arial" w:cs="Arial" w:eastAsia="Arial" w:hAnsi="Arial"/>
          <w:sz w:val="22"/>
          <w:szCs w:val="22"/>
          <w:color w:val="auto"/>
        </w:rPr>
      </w:pPr>
      <w:r>
        <w:rPr>
          <w:rFonts w:ascii="Arial" w:cs="Arial" w:eastAsia="Arial" w:hAnsi="Arial"/>
          <w:sz w:val="22"/>
          <w:szCs w:val="22"/>
          <w:color w:val="auto"/>
        </w:rPr>
        <w:t>i. it is the sole legal and beneficial owner of, has good title to, and possesses sole control of, such Claim, free and clear of any Adverse Claim;</w:t>
      </w:r>
    </w:p>
    <w:p>
      <w:pPr>
        <w:spacing w:after="0" w:line="175" w:lineRule="exact"/>
        <w:rPr>
          <w:sz w:val="20"/>
          <w:szCs w:val="20"/>
          <w:color w:val="auto"/>
        </w:rPr>
      </w:pPr>
    </w:p>
    <w:p>
      <w:pPr>
        <w:jc w:val="both"/>
        <w:ind w:left="1300" w:hanging="193"/>
        <w:spacing w:after="0" w:line="248" w:lineRule="auto"/>
        <w:rPr>
          <w:sz w:val="20"/>
          <w:szCs w:val="20"/>
          <w:color w:val="auto"/>
        </w:rPr>
      </w:pPr>
      <w:r>
        <w:rPr>
          <w:rFonts w:ascii="Arial" w:cs="Arial" w:eastAsia="Arial" w:hAnsi="Arial"/>
          <w:sz w:val="22"/>
          <w:szCs w:val="22"/>
          <w:color w:val="auto"/>
        </w:rPr>
        <w:t>ii.other than the Initial Settlement Payment (as defined in the Settlement Agreement), the transfer of the Diagnostics Assets to PDL in exchange for a credit bid and the payment by Hyperion Catalysis International, Inc. (“</w:t>
      </w:r>
      <w:r>
        <w:rPr>
          <w:rFonts w:ascii="Arial" w:cs="Arial" w:eastAsia="Arial" w:hAnsi="Arial"/>
          <w:sz w:val="22"/>
          <w:szCs w:val="22"/>
          <w:b w:val="1"/>
          <w:bCs w:val="1"/>
          <w:i w:val="1"/>
          <w:iCs w:val="1"/>
          <w:color w:val="auto"/>
        </w:rPr>
        <w:t>Hyperion</w:t>
      </w:r>
      <w:r>
        <w:rPr>
          <w:rFonts w:ascii="Arial" w:cs="Arial" w:eastAsia="Arial" w:hAnsi="Arial"/>
          <w:sz w:val="22"/>
          <w:szCs w:val="22"/>
          <w:color w:val="auto"/>
        </w:rPr>
        <w:t>”) of One Million Two Hundred Thousand Dollars ($1,200,0000) pursuant to an agreement dated January 27, 2012 between Hyperion and the Counterparty, the Counterparty has not received any payments in connection with such Claim or the Settlement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40"/>
          </w:cols>
          <w:pgMar w:left="320" w:top="1427" w:right="339" w:bottom="1440" w:gutter="0" w:footer="0" w:header="0"/>
        </w:sectPr>
      </w:pPr>
    </w:p>
    <w:bookmarkStart w:id="151" w:name="page152"/>
    <w:bookmarkEnd w:id="151"/>
    <w:p>
      <w:pPr>
        <w:ind w:left="200"/>
        <w:spacing w:after="0" w:line="263" w:lineRule="auto"/>
        <w:rPr>
          <w:sz w:val="20"/>
          <w:szCs w:val="20"/>
          <w:color w:val="auto"/>
        </w:rPr>
      </w:pPr>
      <w:r>
        <w:rPr>
          <w:rFonts w:ascii="Arial" w:cs="Arial" w:eastAsia="Arial" w:hAnsi="Arial"/>
          <w:sz w:val="22"/>
          <w:szCs w:val="22"/>
          <w:color w:val="auto"/>
        </w:rPr>
        <w:t>(B) any payments in connection with such Claim received after the date of this Agreement have been disclosed to the Capital Provider in accordance herewith;</w:t>
      </w:r>
    </w:p>
    <w:p>
      <w:pPr>
        <w:spacing w:after="0" w:line="174" w:lineRule="exact"/>
        <w:rPr>
          <w:sz w:val="20"/>
          <w:szCs w:val="20"/>
          <w:color w:val="auto"/>
        </w:rPr>
      </w:pPr>
    </w:p>
    <w:p>
      <w:pPr>
        <w:jc w:val="both"/>
        <w:ind w:left="200" w:hanging="190"/>
        <w:spacing w:after="0" w:line="263" w:lineRule="auto"/>
        <w:tabs>
          <w:tab w:leader="none" w:pos="847"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Settlement Agreement has been duly authorized by the Counterparty with all necessary corporate authorizations, and duly executed, and all preconditions set forth therein, including the events set forth in subparagraphs (i) through (iv) of paragraph 2 of the Settlement Agreement, have been satisfied; the Escrow Agreement has been duly authorized by the Counterparty with all necessary corporate authorizations and duly executed in the form set forth as Exhibit A to the Settlement Agreement.</w:t>
      </w:r>
    </w:p>
    <w:p>
      <w:pPr>
        <w:spacing w:after="0" w:line="175" w:lineRule="exact"/>
        <w:rPr>
          <w:rFonts w:ascii="Arial" w:cs="Arial" w:eastAsia="Arial" w:hAnsi="Arial"/>
          <w:sz w:val="21"/>
          <w:szCs w:val="21"/>
          <w:color w:val="auto"/>
        </w:rPr>
      </w:pPr>
    </w:p>
    <w:p>
      <w:pPr>
        <w:jc w:val="both"/>
        <w:ind w:left="200" w:hanging="190"/>
        <w:spacing w:after="0" w:line="297" w:lineRule="auto"/>
        <w:tabs>
          <w:tab w:leader="none" w:pos="821" w:val="left"/>
        </w:tabs>
        <w:numPr>
          <w:ilvl w:val="0"/>
          <w:numId w:val="95"/>
        </w:numPr>
        <w:rPr>
          <w:rFonts w:ascii="Arial" w:cs="Arial" w:eastAsia="Arial" w:hAnsi="Arial"/>
          <w:sz w:val="19"/>
          <w:szCs w:val="19"/>
          <w:color w:val="auto"/>
        </w:rPr>
      </w:pPr>
      <w:r>
        <w:rPr>
          <w:rFonts w:ascii="Arial" w:cs="Arial" w:eastAsia="Arial" w:hAnsi="Arial"/>
          <w:sz w:val="19"/>
          <w:szCs w:val="19"/>
          <w:color w:val="auto"/>
        </w:rPr>
        <w:t>it has not disposed of, transferred, encumbered or assigned all or any portion of such Claim (or any interest therein) or the Settlement Agreement or any Proceeds thereof, whether by way of security, subrogation, assignment to an insurer or otherwise; it has not set off or agreed to set off any amounts against such Claim or the Settlement Agreement, and, to its knowledge, there exist no rights of set-off or similar rights against the Counterparty that could permit any set-off of or counterclaim against such Claim or the Settlement Agreement;</w:t>
      </w:r>
    </w:p>
    <w:p>
      <w:pPr>
        <w:spacing w:after="0" w:line="146" w:lineRule="exact"/>
        <w:rPr>
          <w:rFonts w:ascii="Arial" w:cs="Arial" w:eastAsia="Arial" w:hAnsi="Arial"/>
          <w:sz w:val="19"/>
          <w:szCs w:val="19"/>
          <w:color w:val="auto"/>
        </w:rPr>
      </w:pPr>
    </w:p>
    <w:p>
      <w:pPr>
        <w:ind w:left="200" w:hanging="190"/>
        <w:spacing w:after="0" w:line="343" w:lineRule="auto"/>
        <w:tabs>
          <w:tab w:leader="none" w:pos="181"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security interest granted by the Counterparty to the Capital Provider pursuant to Section 6 of this Agreement, is a legal, validly created, perfected, first priority security interest, subject to no other Adverse Claim;</w:t>
      </w:r>
    </w:p>
    <w:p>
      <w:pPr>
        <w:spacing w:after="0" w:line="104" w:lineRule="exact"/>
        <w:rPr>
          <w:rFonts w:ascii="Arial" w:cs="Arial" w:eastAsia="Arial" w:hAnsi="Arial"/>
          <w:sz w:val="19"/>
          <w:szCs w:val="19"/>
          <w:color w:val="auto"/>
        </w:rPr>
      </w:pPr>
    </w:p>
    <w:p>
      <w:pPr>
        <w:jc w:val="both"/>
        <w:ind w:left="200" w:hanging="190"/>
        <w:spacing w:after="0" w:line="297" w:lineRule="auto"/>
        <w:tabs>
          <w:tab w:leader="none" w:pos="835" w:val="left"/>
        </w:tabs>
        <w:numPr>
          <w:ilvl w:val="0"/>
          <w:numId w:val="95"/>
        </w:numPr>
        <w:rPr>
          <w:rFonts w:ascii="Arial" w:cs="Arial" w:eastAsia="Arial" w:hAnsi="Arial"/>
          <w:sz w:val="19"/>
          <w:szCs w:val="19"/>
          <w:color w:val="auto"/>
        </w:rPr>
      </w:pPr>
      <w:r>
        <w:rPr>
          <w:rFonts w:ascii="Arial" w:cs="Arial" w:eastAsia="Arial" w:hAnsi="Arial"/>
          <w:sz w:val="19"/>
          <w:szCs w:val="19"/>
          <w:color w:val="auto"/>
        </w:rPr>
        <w:t>(A) it has not taken any steps or executed any documents which would reasonably be expected, either individually or in the aggregate, to have a Material Adverse Effect and, to the Counterparty’s knowledge, there are no instances in which another Person has done or purported to do so; and (B) it has disclosed to the Capital Provider any asserted or, to its knowledge, unasserted claim, or asserted lien or judgment against it which would reasonably be expected, either individually or in the aggregate, to have a Material Adverse Effect;</w:t>
      </w:r>
    </w:p>
    <w:p>
      <w:pPr>
        <w:spacing w:after="0" w:line="146" w:lineRule="exact"/>
        <w:rPr>
          <w:rFonts w:ascii="Arial" w:cs="Arial" w:eastAsia="Arial" w:hAnsi="Arial"/>
          <w:sz w:val="19"/>
          <w:szCs w:val="19"/>
          <w:color w:val="auto"/>
        </w:rPr>
      </w:pPr>
    </w:p>
    <w:p>
      <w:pPr>
        <w:jc w:val="both"/>
        <w:ind w:left="200" w:hanging="190"/>
        <w:spacing w:after="0" w:line="247" w:lineRule="auto"/>
        <w:tabs>
          <w:tab w:leader="none" w:pos="841" w:val="left"/>
        </w:tabs>
        <w:numPr>
          <w:ilvl w:val="0"/>
          <w:numId w:val="95"/>
        </w:numPr>
        <w:rPr>
          <w:rFonts w:ascii="Arial" w:cs="Arial" w:eastAsia="Arial" w:hAnsi="Arial"/>
          <w:sz w:val="22"/>
          <w:szCs w:val="22"/>
          <w:color w:val="auto"/>
        </w:rPr>
      </w:pPr>
      <w:r>
        <w:rPr>
          <w:rFonts w:ascii="Arial" w:cs="Arial" w:eastAsia="Arial" w:hAnsi="Arial"/>
          <w:sz w:val="22"/>
          <w:szCs w:val="22"/>
          <w:color w:val="auto"/>
        </w:rPr>
        <w:t>subject to Section 8.4, it has disclosed to the Capital Provider all material information (in any and all media) in the knowledge, possession or control of the Counterparty or any of its Representatives related to the Settlement Agreement; any and all such information taken as a whole is accurate and complete in all material respects; and the Counterparty believes (and does not have, and has not been informed by any of its Representatives of, any belief to the contrary) that the Settlement Agreement is enforceable; and the Counterparty has not been advised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0140"/>
          </w:cols>
          <w:pgMar w:left="1420" w:top="1427" w:right="339" w:bottom="1440" w:gutter="0" w:footer="0" w:header="0"/>
        </w:sectPr>
      </w:pPr>
    </w:p>
    <w:bookmarkStart w:id="152" w:name="page153"/>
    <w:bookmarkEnd w:id="152"/>
    <w:p>
      <w:pPr>
        <w:ind w:left="1300"/>
        <w:spacing w:after="0"/>
        <w:rPr>
          <w:sz w:val="20"/>
          <w:szCs w:val="20"/>
          <w:color w:val="auto"/>
        </w:rPr>
      </w:pPr>
      <w:r>
        <w:rPr>
          <w:rFonts w:ascii="Arial" w:cs="Arial" w:eastAsia="Arial" w:hAnsi="Arial"/>
          <w:sz w:val="21"/>
          <w:szCs w:val="21"/>
          <w:color w:val="auto"/>
        </w:rPr>
        <w:t>the Nominated Lawyers or any other legal counsel that the Settlement Agreement may not be enforceable.</w:t>
      </w:r>
    </w:p>
    <w:p>
      <w:pPr>
        <w:spacing w:after="0" w:line="231" w:lineRule="exact"/>
        <w:rPr>
          <w:sz w:val="20"/>
          <w:szCs w:val="20"/>
          <w:color w:val="auto"/>
        </w:rPr>
      </w:pPr>
    </w:p>
    <w:p>
      <w:pPr>
        <w:jc w:val="both"/>
        <w:ind w:left="660" w:hanging="652"/>
        <w:spacing w:after="0" w:line="312" w:lineRule="auto"/>
        <w:tabs>
          <w:tab w:leader="none" w:pos="6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It is not materially overdue in the filing of any material Tax return nor overdue in the payment of any material Taxes, to the extent that a breach or inaccuracy of any of the foregoing (i) could result in a liability of Capital Provider for any such Taxes, or (ii) could affect the Capital Provider’s first priority security interest in the Collateral.</w:t>
      </w:r>
    </w:p>
    <w:p>
      <w:pPr>
        <w:spacing w:after="0" w:line="127"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Grant of Security</w:t>
      </w:r>
    </w:p>
    <w:p>
      <w:pPr>
        <w:spacing w:after="0" w:line="226" w:lineRule="exact"/>
        <w:rPr>
          <w:sz w:val="20"/>
          <w:szCs w:val="20"/>
          <w:color w:val="auto"/>
        </w:rPr>
      </w:pPr>
    </w:p>
    <w:p>
      <w:pPr>
        <w:jc w:val="both"/>
        <w:ind w:left="660" w:hanging="652"/>
        <w:spacing w:after="0" w:line="246" w:lineRule="auto"/>
        <w:tabs>
          <w:tab w:leader="none" w:pos="648" w:val="left"/>
        </w:tabs>
        <w:numPr>
          <w:ilvl w:val="0"/>
          <w:numId w:val="98"/>
        </w:numPr>
        <w:rPr>
          <w:rFonts w:ascii="Arial" w:cs="Arial" w:eastAsia="Arial" w:hAnsi="Arial"/>
          <w:sz w:val="22"/>
          <w:szCs w:val="22"/>
          <w:color w:val="auto"/>
        </w:rPr>
      </w:pPr>
      <w:r>
        <w:rPr>
          <w:rFonts w:ascii="Arial" w:cs="Arial" w:eastAsia="Arial" w:hAnsi="Arial"/>
          <w:sz w:val="22"/>
          <w:szCs w:val="22"/>
          <w:color w:val="auto"/>
        </w:rPr>
        <w:t>Simultaneously with the provision by the Capital Provider of the Capital Amount to the Counterparty, the Counterparty hereby grants to the Capital Provider a security interest in and continuing lien on all of the Counterparty’s right, title and interest in the following, in each case whether now or hereafter existing or in which the Counterparty now has or hereafter acquires an interest and wherever the same may be located (all of which being hereinafter collectively referred to as the “</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 provided that the Counterparty grants no right, title or interest in the Diagnostic Assets until such time as the Adverse Party is no longer entitled to a possible transfer of the Diagnostics Assets pursuant to the Settlement Agreement:</w:t>
      </w:r>
    </w:p>
    <w:p>
      <w:pPr>
        <w:spacing w:after="0" w:line="196" w:lineRule="exact"/>
        <w:rPr>
          <w:rFonts w:ascii="Arial" w:cs="Arial" w:eastAsia="Arial" w:hAnsi="Arial"/>
          <w:sz w:val="22"/>
          <w:szCs w:val="22"/>
          <w:color w:val="auto"/>
        </w:rPr>
      </w:pPr>
    </w:p>
    <w:p>
      <w:pPr>
        <w:ind w:left="1300" w:hanging="190"/>
        <w:spacing w:after="0"/>
        <w:tabs>
          <w:tab w:leader="none" w:pos="1300"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Claim;</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ii.the Settlement Agreement;</w:t>
      </w:r>
    </w:p>
    <w:p>
      <w:pPr>
        <w:spacing w:after="0" w:line="220" w:lineRule="exact"/>
        <w:rPr>
          <w:sz w:val="20"/>
          <w:szCs w:val="20"/>
          <w:color w:val="auto"/>
        </w:rPr>
      </w:pPr>
    </w:p>
    <w:p>
      <w:pPr>
        <w:ind w:left="1300" w:hanging="190"/>
        <w:spacing w:after="0" w:line="263" w:lineRule="auto"/>
        <w:tabs>
          <w:tab w:leader="none" w:pos="1947" w:val="left"/>
        </w:tabs>
        <w:numPr>
          <w:ilvl w:val="0"/>
          <w:numId w:val="99"/>
        </w:numPr>
        <w:rPr>
          <w:rFonts w:ascii="Arial" w:cs="Arial" w:eastAsia="Arial" w:hAnsi="Arial"/>
          <w:sz w:val="22"/>
          <w:szCs w:val="22"/>
          <w:color w:val="auto"/>
        </w:rPr>
      </w:pPr>
      <w:r>
        <w:rPr>
          <w:rFonts w:ascii="Arial" w:cs="Arial" w:eastAsia="Arial" w:hAnsi="Arial"/>
          <w:sz w:val="22"/>
          <w:szCs w:val="22"/>
          <w:color w:val="auto"/>
        </w:rPr>
        <w:t>all Accounts and General Intangibles (including Payment Intangibles) arising from the Claim or the Settlement Agreement;</w:t>
      </w:r>
    </w:p>
    <w:p>
      <w:pPr>
        <w:spacing w:after="0" w:line="174" w:lineRule="exact"/>
        <w:rPr>
          <w:rFonts w:ascii="Arial" w:cs="Arial" w:eastAsia="Arial" w:hAnsi="Arial"/>
          <w:sz w:val="22"/>
          <w:szCs w:val="22"/>
          <w:color w:val="auto"/>
        </w:rPr>
      </w:pPr>
    </w:p>
    <w:p>
      <w:pPr>
        <w:ind w:left="1920" w:hanging="810"/>
        <w:spacing w:after="0"/>
        <w:tabs>
          <w:tab w:leader="none" w:pos="19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each of the Counterparty’s rights under the Escrow Agreement;</w:t>
      </w:r>
    </w:p>
    <w:p>
      <w:pPr>
        <w:spacing w:after="0" w:line="219" w:lineRule="exact"/>
        <w:rPr>
          <w:rFonts w:ascii="Arial" w:cs="Arial" w:eastAsia="Arial" w:hAnsi="Arial"/>
          <w:sz w:val="22"/>
          <w:szCs w:val="22"/>
          <w:color w:val="auto"/>
        </w:rPr>
      </w:pPr>
    </w:p>
    <w:p>
      <w:pPr>
        <w:ind w:left="1280" w:hanging="170"/>
        <w:spacing w:after="0"/>
        <w:tabs>
          <w:tab w:leader="none" w:pos="1280" w:val="left"/>
        </w:tabs>
        <w:numPr>
          <w:ilvl w:val="0"/>
          <w:numId w:val="99"/>
        </w:numPr>
        <w:rPr>
          <w:rFonts w:ascii="Arial" w:cs="Arial" w:eastAsia="Arial" w:hAnsi="Arial"/>
          <w:sz w:val="21"/>
          <w:szCs w:val="21"/>
          <w:color w:val="auto"/>
        </w:rPr>
      </w:pPr>
      <w:r>
        <w:rPr>
          <w:rFonts w:ascii="Arial" w:cs="Arial" w:eastAsia="Arial" w:hAnsi="Arial"/>
          <w:sz w:val="21"/>
          <w:szCs w:val="21"/>
          <w:color w:val="auto"/>
        </w:rPr>
        <w:t>all Proceeds (and the obligation of the Adverse Party to pay the same);</w:t>
      </w:r>
    </w:p>
    <w:p>
      <w:pPr>
        <w:spacing w:after="0" w:line="231" w:lineRule="exact"/>
        <w:rPr>
          <w:rFonts w:ascii="Arial" w:cs="Arial" w:eastAsia="Arial" w:hAnsi="Arial"/>
          <w:sz w:val="21"/>
          <w:szCs w:val="21"/>
          <w:color w:val="auto"/>
        </w:rPr>
      </w:pPr>
    </w:p>
    <w:p>
      <w:pPr>
        <w:ind w:left="1300" w:hanging="190"/>
        <w:spacing w:after="0" w:line="263" w:lineRule="auto"/>
        <w:tabs>
          <w:tab w:leader="none" w:pos="1935" w:val="left"/>
        </w:tabs>
        <w:numPr>
          <w:ilvl w:val="0"/>
          <w:numId w:val="99"/>
        </w:numPr>
        <w:rPr>
          <w:rFonts w:ascii="Arial" w:cs="Arial" w:eastAsia="Arial" w:hAnsi="Arial"/>
          <w:sz w:val="22"/>
          <w:szCs w:val="22"/>
          <w:color w:val="auto"/>
        </w:rPr>
      </w:pPr>
      <w:r>
        <w:rPr>
          <w:rFonts w:ascii="Arial" w:cs="Arial" w:eastAsia="Arial" w:hAnsi="Arial"/>
          <w:sz w:val="22"/>
          <w:szCs w:val="22"/>
          <w:color w:val="auto"/>
        </w:rPr>
        <w:t>all of the Counterparty’s rights relating to the BioVeris License Agreement and all proceeds from the sale of the BioVeris license referred to in Section 5.g of the Settlement Agreement;</w:t>
      </w:r>
    </w:p>
    <w:p>
      <w:pPr>
        <w:spacing w:after="0" w:line="174" w:lineRule="exact"/>
        <w:rPr>
          <w:rFonts w:ascii="Arial" w:cs="Arial" w:eastAsia="Arial" w:hAnsi="Arial"/>
          <w:sz w:val="22"/>
          <w:szCs w:val="22"/>
          <w:color w:val="auto"/>
        </w:rPr>
      </w:pPr>
    </w:p>
    <w:p>
      <w:pPr>
        <w:ind w:left="1300" w:hanging="190"/>
        <w:spacing w:after="0" w:line="263" w:lineRule="auto"/>
        <w:tabs>
          <w:tab w:leader="none" w:pos="1941" w:val="left"/>
        </w:tabs>
        <w:numPr>
          <w:ilvl w:val="0"/>
          <w:numId w:val="99"/>
        </w:numPr>
        <w:rPr>
          <w:rFonts w:ascii="Arial" w:cs="Arial" w:eastAsia="Arial" w:hAnsi="Arial"/>
          <w:sz w:val="22"/>
          <w:szCs w:val="22"/>
          <w:color w:val="auto"/>
        </w:rPr>
      </w:pPr>
      <w:r>
        <w:rPr>
          <w:rFonts w:ascii="Arial" w:cs="Arial" w:eastAsia="Arial" w:hAnsi="Arial"/>
          <w:sz w:val="22"/>
          <w:szCs w:val="22"/>
          <w:color w:val="auto"/>
        </w:rPr>
        <w:t>all Supporting Obligations relating to the foregoing, including any bond posted to insure the payment thereof;</w:t>
      </w:r>
    </w:p>
    <w:p>
      <w:pPr>
        <w:spacing w:after="0" w:line="174" w:lineRule="exact"/>
        <w:rPr>
          <w:rFonts w:ascii="Arial" w:cs="Arial" w:eastAsia="Arial" w:hAnsi="Arial"/>
          <w:sz w:val="22"/>
          <w:szCs w:val="22"/>
          <w:color w:val="auto"/>
        </w:rPr>
      </w:pPr>
    </w:p>
    <w:p>
      <w:pPr>
        <w:ind w:left="1960" w:hanging="850"/>
        <w:spacing w:after="0"/>
        <w:tabs>
          <w:tab w:leader="none" w:pos="19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each PDL/Wellstat Document and each right of the Counterparty under each PDL/Wellstat Document;</w:t>
      </w:r>
    </w:p>
    <w:p>
      <w:pPr>
        <w:spacing w:after="0" w:line="254" w:lineRule="exact"/>
        <w:rPr>
          <w:rFonts w:ascii="Arial" w:cs="Arial" w:eastAsia="Arial" w:hAnsi="Arial"/>
          <w:sz w:val="19"/>
          <w:szCs w:val="19"/>
          <w:color w:val="auto"/>
        </w:rPr>
      </w:pPr>
    </w:p>
    <w:p>
      <w:pPr>
        <w:ind w:left="1300" w:hanging="190"/>
        <w:spacing w:after="0" w:line="263" w:lineRule="auto"/>
        <w:tabs>
          <w:tab w:leader="none" w:pos="1935" w:val="left"/>
        </w:tabs>
        <w:numPr>
          <w:ilvl w:val="0"/>
          <w:numId w:val="99"/>
        </w:numPr>
        <w:rPr>
          <w:rFonts w:ascii="Arial" w:cs="Arial" w:eastAsia="Arial" w:hAnsi="Arial"/>
          <w:sz w:val="22"/>
          <w:szCs w:val="22"/>
          <w:color w:val="auto"/>
        </w:rPr>
      </w:pPr>
      <w:r>
        <w:rPr>
          <w:rFonts w:ascii="Arial" w:cs="Arial" w:eastAsia="Arial" w:hAnsi="Arial"/>
          <w:sz w:val="22"/>
          <w:szCs w:val="22"/>
          <w:color w:val="auto"/>
        </w:rPr>
        <w:t>PDL’s interest in all Wellstat Collateral and all Cash Proceeds and non-Cash Proceeds of Wellstat Collateral in the possession of the Counterparty or in the possession of the Escrow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40"/>
          </w:cols>
          <w:pgMar w:left="320" w:top="1428" w:right="339" w:bottom="1440" w:gutter="0" w:footer="0" w:header="0"/>
        </w:sectPr>
      </w:pPr>
    </w:p>
    <w:bookmarkStart w:id="153" w:name="page154"/>
    <w:bookmarkEnd w:id="153"/>
    <w:p>
      <w:pPr>
        <w:ind w:left="1300" w:hanging="193"/>
        <w:spacing w:after="0" w:line="263" w:lineRule="auto"/>
        <w:rPr>
          <w:sz w:val="20"/>
          <w:szCs w:val="20"/>
          <w:color w:val="auto"/>
        </w:rPr>
      </w:pPr>
      <w:r>
        <w:rPr>
          <w:rFonts w:ascii="Arial" w:cs="Arial" w:eastAsia="Arial" w:hAnsi="Arial"/>
          <w:sz w:val="22"/>
          <w:szCs w:val="22"/>
          <w:color w:val="auto"/>
        </w:rPr>
        <w:t>x. each PDL/Wellstat Collateral Document and each right of the Counterparty under each PDL/Wellstat Collateral Document;</w:t>
      </w:r>
    </w:p>
    <w:p>
      <w:pPr>
        <w:spacing w:after="0" w:line="175" w:lineRule="exact"/>
        <w:rPr>
          <w:sz w:val="20"/>
          <w:szCs w:val="20"/>
          <w:color w:val="auto"/>
        </w:rPr>
      </w:pPr>
    </w:p>
    <w:p>
      <w:pPr>
        <w:ind w:left="1940" w:hanging="830"/>
        <w:spacing w:after="0"/>
        <w:tabs>
          <w:tab w:leader="none" w:pos="19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PDL/Wellstat Security Interest;</w:t>
      </w:r>
    </w:p>
    <w:p>
      <w:pPr>
        <w:spacing w:after="0" w:line="219" w:lineRule="exact"/>
        <w:rPr>
          <w:rFonts w:ascii="Arial" w:cs="Arial" w:eastAsia="Arial" w:hAnsi="Arial"/>
          <w:sz w:val="22"/>
          <w:szCs w:val="22"/>
          <w:color w:val="auto"/>
        </w:rPr>
      </w:pPr>
    </w:p>
    <w:p>
      <w:pPr>
        <w:ind w:left="1940" w:hanging="830"/>
        <w:spacing w:after="0"/>
        <w:tabs>
          <w:tab w:leader="none" w:pos="19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PDL/Wellstat Financing Statement; and</w:t>
      </w:r>
    </w:p>
    <w:p>
      <w:pPr>
        <w:spacing w:after="0" w:line="219" w:lineRule="exact"/>
        <w:rPr>
          <w:rFonts w:ascii="Arial" w:cs="Arial" w:eastAsia="Arial" w:hAnsi="Arial"/>
          <w:sz w:val="22"/>
          <w:szCs w:val="22"/>
          <w:color w:val="auto"/>
        </w:rPr>
      </w:pPr>
    </w:p>
    <w:p>
      <w:pPr>
        <w:ind w:left="1300" w:hanging="190"/>
        <w:spacing w:after="0" w:line="263" w:lineRule="auto"/>
        <w:tabs>
          <w:tab w:leader="none" w:pos="194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to the extent not otherwise included above, all Cash Proceeds and non-Cash Proceeds of any and all of the foregoing.</w:t>
      </w:r>
    </w:p>
    <w:p>
      <w:pPr>
        <w:spacing w:after="0" w:line="175" w:lineRule="exact"/>
        <w:rPr>
          <w:sz w:val="20"/>
          <w:szCs w:val="20"/>
          <w:color w:val="auto"/>
        </w:rPr>
      </w:pPr>
    </w:p>
    <w:p>
      <w:pPr>
        <w:jc w:val="both"/>
        <w:ind w:left="660" w:hanging="652"/>
        <w:spacing w:after="0" w:line="265" w:lineRule="auto"/>
        <w:tabs>
          <w:tab w:leader="none" w:pos="66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This Agreement secures, and the Collateral is collateral security for, the prompt and complete payment in full when due, whether at declaration, demand or otherwise (including the payment of amounts that would become due but for the operation of the automatic stay under Section 362(a) of the Bankruptcy Code, 11 U.S.C. § 362(a) (and any successor provision thereof)), of all obligations of the Counterparty under this Agreement.</w:t>
      </w:r>
    </w:p>
    <w:p>
      <w:pPr>
        <w:spacing w:after="0" w:line="169"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0"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Exclusive Ownership of Information by Disclosing Party</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Each recipient of Confidential Information hereunder (the “</w:t>
      </w:r>
      <w:r>
        <w:rPr>
          <w:rFonts w:ascii="Arial" w:cs="Arial" w:eastAsia="Arial" w:hAnsi="Arial"/>
          <w:sz w:val="19"/>
          <w:szCs w:val="19"/>
          <w:b w:val="1"/>
          <w:bCs w:val="1"/>
          <w:i w:val="1"/>
          <w:iCs w:val="1"/>
          <w:color w:val="auto"/>
        </w:rPr>
        <w:t>Recipient</w:t>
      </w:r>
      <w:r>
        <w:rPr>
          <w:rFonts w:ascii="Arial" w:cs="Arial" w:eastAsia="Arial" w:hAnsi="Arial"/>
          <w:sz w:val="19"/>
          <w:szCs w:val="19"/>
          <w:color w:val="auto"/>
        </w:rPr>
        <w:t>”) agrees that all Confidential Information provided to it is and shall remain at all times the exclusive property of and owned by the other party (the “</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or any of its Affiliates, as the case may be; and that the Recipient’s use or awareness of such Confidential Information shall create no rights, at law or in equity, in the Recipient in or to such information, or any aspect or embodiment thereof. Neither the execution of this Agreement or any other Transaction Document, nor the furnishing of any Confidential Information hereunder, shall be construed as granting, whether expressly or by implication, estoppel or otherwise, any license to distribute or title to any patent, trademark, copyright, service mark, business and trade secret or other proprietary right, title or interest in or to such Confidential Information, or to use such Confidential Information for any purpose other than as specified in this Agreement or any other Transaction Document, or to constitute a waiver of any attorney-client privilege or work product protection.</w:t>
      </w:r>
    </w:p>
    <w:p>
      <w:pPr>
        <w:spacing w:after="0" w:line="151"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Non-Disclosure of Information</w:t>
      </w:r>
    </w:p>
    <w:p>
      <w:pPr>
        <w:spacing w:after="0" w:line="218" w:lineRule="exact"/>
        <w:rPr>
          <w:sz w:val="20"/>
          <w:szCs w:val="20"/>
          <w:color w:val="auto"/>
        </w:rPr>
      </w:pPr>
    </w:p>
    <w:p>
      <w:pPr>
        <w:jc w:val="both"/>
        <w:ind w:left="660" w:hanging="652"/>
        <w:spacing w:after="0" w:line="252" w:lineRule="auto"/>
        <w:tabs>
          <w:tab w:leader="none" w:pos="64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Subject to Section 7.4, the Recipient shall not for any reason, (i) until the later of (A) the seventh (7</w:t>
      </w:r>
      <w:r>
        <w:rPr>
          <w:rFonts w:ascii="Arial" w:cs="Arial" w:eastAsia="Arial" w:hAnsi="Arial"/>
          <w:sz w:val="25"/>
          <w:szCs w:val="25"/>
          <w:color w:val="auto"/>
          <w:vertAlign w:val="superscript"/>
        </w:rPr>
        <w:t>th</w:t>
      </w:r>
      <w:r>
        <w:rPr>
          <w:rFonts w:ascii="Arial" w:cs="Arial" w:eastAsia="Arial" w:hAnsi="Arial"/>
          <w:sz w:val="19"/>
          <w:szCs w:val="19"/>
          <w:color w:val="auto"/>
        </w:rPr>
        <w:t>) anniversary of the date of this Agreement, or (B) the second (2</w:t>
      </w:r>
      <w:r>
        <w:rPr>
          <w:rFonts w:ascii="Arial" w:cs="Arial" w:eastAsia="Arial" w:hAnsi="Arial"/>
          <w:sz w:val="25"/>
          <w:szCs w:val="25"/>
          <w:color w:val="auto"/>
          <w:vertAlign w:val="superscript"/>
        </w:rPr>
        <w:t>nd</w:t>
      </w:r>
      <w:r>
        <w:rPr>
          <w:rFonts w:ascii="Arial" w:cs="Arial" w:eastAsia="Arial" w:hAnsi="Arial"/>
          <w:sz w:val="19"/>
          <w:szCs w:val="19"/>
          <w:color w:val="auto"/>
        </w:rPr>
        <w:t>) anniversary of the receipt of all Proceeds, disclose, reveal, report, publish, transfer or make available, directly or indirectly, to any Person other than its Representatives authorized pursuant to Section 7.3, nor use for any purpose other than the fulfillment of its obligations hereunder (collectively, “</w:t>
      </w:r>
      <w:r>
        <w:rPr>
          <w:rFonts w:ascii="Arial" w:cs="Arial" w:eastAsia="Arial" w:hAnsi="Arial"/>
          <w:sz w:val="19"/>
          <w:szCs w:val="19"/>
          <w:b w:val="1"/>
          <w:bCs w:val="1"/>
          <w:i w:val="1"/>
          <w:iCs w:val="1"/>
          <w:color w:val="auto"/>
        </w:rPr>
        <w:t>Disclose</w:t>
      </w:r>
      <w:r>
        <w:rPr>
          <w:rFonts w:ascii="Arial" w:cs="Arial" w:eastAsia="Arial" w:hAnsi="Arial"/>
          <w:sz w:val="19"/>
          <w:szCs w:val="19"/>
          <w:color w:val="auto"/>
        </w:rPr>
        <w: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40"/>
          </w:cols>
          <w:pgMar w:left="320" w:top="1428" w:right="339" w:bottom="1440" w:gutter="0" w:footer="0" w:header="0"/>
        </w:sectPr>
      </w:pPr>
    </w:p>
    <w:bookmarkStart w:id="154" w:name="page155"/>
    <w:bookmarkEnd w:id="154"/>
    <w:p>
      <w:pPr>
        <w:ind w:left="660"/>
        <w:spacing w:after="0" w:line="263" w:lineRule="auto"/>
        <w:rPr>
          <w:sz w:val="20"/>
          <w:szCs w:val="20"/>
          <w:color w:val="auto"/>
        </w:rPr>
      </w:pPr>
      <w:r>
        <w:rPr>
          <w:rFonts w:ascii="Arial" w:cs="Arial" w:eastAsia="Arial" w:hAnsi="Arial"/>
          <w:sz w:val="22"/>
          <w:szCs w:val="22"/>
          <w:color w:val="auto"/>
        </w:rPr>
        <w:t>Confidential Information provided to it by the Disclosing Party; nor (ii) in perpetuity, Disclose any Protected Material provided to it by the Disclosing Party.</w:t>
      </w:r>
    </w:p>
    <w:p>
      <w:pPr>
        <w:spacing w:after="0" w:line="175" w:lineRule="exact"/>
        <w:rPr>
          <w:sz w:val="20"/>
          <w:szCs w:val="20"/>
          <w:color w:val="auto"/>
        </w:rPr>
      </w:pPr>
    </w:p>
    <w:p>
      <w:pPr>
        <w:jc w:val="both"/>
        <w:ind w:left="660" w:hanging="652"/>
        <w:spacing w:after="0" w:line="265" w:lineRule="auto"/>
        <w:tabs>
          <w:tab w:leader="none" w:pos="66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Moreover, notwithstanding any other provision of this Agreement but subject to clause (c) below, at no time shall the Recipient knowingly disclose any Confidential Information or Protected Material, and the Recipient shall treat such materials in a manner that does not substantially increase the likelihood that any of the foregoing shall come into possession of anyone known to be the Adverse Party or a conduit of the Adverse Party.</w:t>
      </w:r>
    </w:p>
    <w:p>
      <w:pPr>
        <w:spacing w:after="0" w:line="175" w:lineRule="exact"/>
        <w:rPr>
          <w:rFonts w:ascii="Arial" w:cs="Arial" w:eastAsia="Arial" w:hAnsi="Arial"/>
          <w:sz w:val="21"/>
          <w:szCs w:val="21"/>
          <w:color w:val="auto"/>
        </w:rPr>
      </w:pPr>
    </w:p>
    <w:p>
      <w:pPr>
        <w:jc w:val="both"/>
        <w:ind w:left="660" w:hanging="652"/>
        <w:spacing w:after="0" w:line="259" w:lineRule="auto"/>
        <w:tabs>
          <w:tab w:leader="none" w:pos="64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Notwithstanding the foregoing clauses (a) and (b), the parties and their respective Affiliates shall be permitted (i) from the Closing Date, to disclose publicly their involvement in the applicable Claim, and (ii) at any time, to make disclosures as otherwise required by law, including without limitation securities laws and the rules and regulations thereunder and the rules and regulations of any securities exchange on which its securities may be listed and from and after any such disclosure the information so disclosed shall no longer constitute Confidential Information; provided, that, in the case of the Counterparty disclosing, it shall, to the extent practicable and not prohibited by applicable law or any contract or agreement to which the Counterparty is party, provide the Capital Provider with a copy of any planned disclosure and consider any comments of Capital Provider prior to disclosing.</w:t>
      </w:r>
    </w:p>
    <w:p>
      <w:pPr>
        <w:spacing w:after="0" w:line="200" w:lineRule="exact"/>
        <w:rPr>
          <w:sz w:val="20"/>
          <w:szCs w:val="20"/>
          <w:color w:val="auto"/>
        </w:rPr>
      </w:pPr>
    </w:p>
    <w:p>
      <w:pPr>
        <w:spacing w:after="0" w:line="220"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Confidentiality Procedures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Except as permitted under Section 7.2, the Recipient shall not disclose Confidential Information it receives from the Disclosing Party to any Person except its Representatives who have a “need to know” such information and to potential assignees under Section 11 provided such potential assignees agree to be bound by confidentiality obligations no less restrictive than those set forth in this Agreement. The Recipient shall procure its Representatives’ compliance with this Section 7 and shall be responsible for its or its Representatives’ failure to so comply.</w:t>
      </w:r>
    </w:p>
    <w:p>
      <w:pPr>
        <w:spacing w:after="0" w:line="16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color w:val="auto"/>
        </w:rPr>
        <w:t>Judicial and Official Disclosure Requests</w:t>
      </w:r>
    </w:p>
    <w:p>
      <w:pPr>
        <w:spacing w:after="0" w:line="226" w:lineRule="exact"/>
        <w:rPr>
          <w:sz w:val="20"/>
          <w:szCs w:val="20"/>
          <w:color w:val="auto"/>
        </w:rPr>
      </w:pPr>
    </w:p>
    <w:p>
      <w:pPr>
        <w:jc w:val="both"/>
        <w:ind w:left="660" w:hanging="652"/>
        <w:spacing w:after="0" w:line="294" w:lineRule="auto"/>
        <w:tabs>
          <w:tab w:leader="none" w:pos="64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a Recipient receives a subpoena or other lawful request, including in any judicial, arbitral or administrative proceeding or by any Governmental Authority, to disclose any Confidential Information (a “</w:t>
      </w:r>
      <w:r>
        <w:rPr>
          <w:rFonts w:ascii="Arial" w:cs="Arial" w:eastAsia="Arial" w:hAnsi="Arial"/>
          <w:sz w:val="19"/>
          <w:szCs w:val="19"/>
          <w:b w:val="1"/>
          <w:bCs w:val="1"/>
          <w:i w:val="1"/>
          <w:iCs w:val="1"/>
          <w:color w:val="auto"/>
        </w:rPr>
        <w:t>Disclosure Request</w:t>
      </w:r>
      <w:r>
        <w:rPr>
          <w:rFonts w:ascii="Arial" w:cs="Arial" w:eastAsia="Arial" w:hAnsi="Arial"/>
          <w:sz w:val="19"/>
          <w:szCs w:val="19"/>
          <w:color w:val="auto"/>
        </w:rPr>
        <w:t xml:space="preserve">”), then such Recipient shall, before complying with such Disclosure Request if legally permitted, promptly provide written notice of such Disclosure Request, including a copy of such Disclosure Request, to the Disclosing Party, sufficiently in advance so that the Disclosing Party may contest the Disclosure Request. If, upon such notice, the Disclosing Party elects to contest the Disclosure Request (all such contests being at the Disclosing Party’s expense and under its control; </w:t>
      </w:r>
      <w:r>
        <w:rPr>
          <w:rFonts w:ascii="Arial" w:cs="Arial" w:eastAsia="Arial" w:hAnsi="Arial"/>
          <w:sz w:val="19"/>
          <w:szCs w:val="19"/>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1240"/>
          </w:cols>
          <w:pgMar w:left="320" w:top="1428" w:right="339" w:bottom="1440" w:gutter="0" w:footer="0" w:header="0"/>
        </w:sectPr>
      </w:pPr>
    </w:p>
    <w:bookmarkStart w:id="155" w:name="page156"/>
    <w:bookmarkEnd w:id="155"/>
    <w:p>
      <w:pPr>
        <w:jc w:val="both"/>
        <w:ind w:left="660"/>
        <w:spacing w:after="0" w:line="312" w:lineRule="auto"/>
        <w:rPr>
          <w:sz w:val="20"/>
          <w:szCs w:val="20"/>
          <w:color w:val="auto"/>
        </w:rPr>
      </w:pPr>
      <w:r>
        <w:rPr>
          <w:rFonts w:ascii="Arial" w:cs="Arial" w:eastAsia="Arial" w:hAnsi="Arial"/>
          <w:sz w:val="19"/>
          <w:szCs w:val="19"/>
          <w:color w:val="auto"/>
        </w:rPr>
        <w:t>that the Disclosing Party shall consult with the Recipient about such contests), to the extent legally permitted the Recipient shall not disclose any Confidential Information until such time as a final, non-appealable or non-stayed order has been entered compelling such disclosure, and the Recipient shall cooperate with the Disclosing Party in its contest.</w:t>
      </w:r>
    </w:p>
    <w:p>
      <w:pPr>
        <w:spacing w:after="0" w:line="133" w:lineRule="exact"/>
        <w:rPr>
          <w:sz w:val="20"/>
          <w:szCs w:val="20"/>
          <w:color w:val="auto"/>
        </w:rPr>
      </w:pPr>
    </w:p>
    <w:p>
      <w:pPr>
        <w:jc w:val="both"/>
        <w:ind w:left="660" w:hanging="652"/>
        <w:spacing w:after="0" w:line="288" w:lineRule="auto"/>
        <w:tabs>
          <w:tab w:leader="none" w:pos="6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If any such Disclosure Request seeks disclosure of an unredacted, non-public version of this Agreement or any other Transaction Document, any non-public terms hereof or thereof, or any communications between the Counterparty and the Capital Provider, then the Recipient shall (i) if legally permissible, notify the Capital Provider as promptly as practicable;</w:t>
      </w:r>
    </w:p>
    <w:p>
      <w:pPr>
        <w:jc w:val="both"/>
        <w:ind w:left="660" w:hanging="4"/>
        <w:spacing w:after="0" w:line="244" w:lineRule="auto"/>
        <w:tabs>
          <w:tab w:leader="none" w:pos="1008" w:val="left"/>
        </w:tabs>
        <w:numPr>
          <w:ilvl w:val="1"/>
          <w:numId w:val="106"/>
        </w:numPr>
        <w:rPr>
          <w:rFonts w:ascii="Arial" w:cs="Arial" w:eastAsia="Arial" w:hAnsi="Arial"/>
          <w:sz w:val="22"/>
          <w:szCs w:val="22"/>
          <w:color w:val="auto"/>
        </w:rPr>
      </w:pPr>
      <w:r>
        <w:rPr>
          <w:rFonts w:ascii="Arial" w:cs="Arial" w:eastAsia="Arial" w:hAnsi="Arial"/>
          <w:sz w:val="22"/>
          <w:szCs w:val="22"/>
          <w:color w:val="auto"/>
        </w:rPr>
        <w:t>object to such disclosure on all applicable bases, including work product doctrine, common interest privilege and relevance, as applicable and as instructed by the Capital Provider; and (iii) abide by the reasonable instructions of the Capital Provider with respect to the management of such objections and requests for confidential treatment, all at the Capital Provider’s sole cost and expense.</w:t>
      </w:r>
    </w:p>
    <w:p>
      <w:pPr>
        <w:spacing w:after="0" w:line="195" w:lineRule="exact"/>
        <w:rPr>
          <w:rFonts w:ascii="Arial" w:cs="Arial" w:eastAsia="Arial" w:hAnsi="Arial"/>
          <w:sz w:val="22"/>
          <w:szCs w:val="22"/>
          <w:color w:val="auto"/>
        </w:rPr>
      </w:pPr>
    </w:p>
    <w:p>
      <w:pPr>
        <w:ind w:left="660" w:hanging="652"/>
        <w:spacing w:after="0" w:line="287" w:lineRule="auto"/>
        <w:tabs>
          <w:tab w:leader="none" w:pos="648" w:val="left"/>
        </w:tabs>
        <w:numPr>
          <w:ilvl w:val="0"/>
          <w:numId w:val="106"/>
        </w:numPr>
        <w:rPr>
          <w:rFonts w:ascii="Arial" w:cs="Arial" w:eastAsia="Arial" w:hAnsi="Arial"/>
          <w:sz w:val="21"/>
          <w:szCs w:val="21"/>
          <w:color w:val="auto"/>
        </w:rPr>
      </w:pPr>
      <w:r>
        <w:rPr>
          <w:rFonts w:ascii="Arial" w:cs="Arial" w:eastAsia="Arial" w:hAnsi="Arial"/>
          <w:sz w:val="21"/>
          <w:szCs w:val="21"/>
          <w:color w:val="auto"/>
        </w:rPr>
        <w:t>Should the Disclosing Party not contest the Disclosure Request, the Recipient shall not have any obligation to do so; the Recipient may, however, contest the Disclosure Request even if the Disclosing Party elects not to do so.</w:t>
      </w:r>
    </w:p>
    <w:p>
      <w:pPr>
        <w:spacing w:after="0" w:line="151" w:lineRule="exact"/>
        <w:rPr>
          <w:rFonts w:ascii="Arial" w:cs="Arial" w:eastAsia="Arial" w:hAnsi="Arial"/>
          <w:sz w:val="21"/>
          <w:szCs w:val="21"/>
          <w:color w:val="auto"/>
        </w:rPr>
      </w:pPr>
    </w:p>
    <w:p>
      <w:pPr>
        <w:jc w:val="both"/>
        <w:ind w:left="660" w:hanging="652"/>
        <w:spacing w:after="0" w:line="248" w:lineRule="auto"/>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 the event that a Disclosure Request is made to a party other than a Recipient hereunder (a “</w:t>
      </w:r>
      <w:r>
        <w:rPr>
          <w:rFonts w:ascii="Arial" w:cs="Arial" w:eastAsia="Arial" w:hAnsi="Arial"/>
          <w:sz w:val="22"/>
          <w:szCs w:val="22"/>
          <w:b w:val="1"/>
          <w:bCs w:val="1"/>
          <w:i w:val="1"/>
          <w:iCs w:val="1"/>
          <w:color w:val="auto"/>
        </w:rPr>
        <w:t>Third Party CI Holder</w:t>
      </w:r>
      <w:r>
        <w:rPr>
          <w:rFonts w:ascii="Arial" w:cs="Arial" w:eastAsia="Arial" w:hAnsi="Arial"/>
          <w:sz w:val="22"/>
          <w:szCs w:val="22"/>
          <w:color w:val="auto"/>
        </w:rPr>
        <w:t>”), and such Third Party CI Holder is a Representative of the Recipient of the Confidential Information requested in the Disclosure Request, then, upon becoming aware of the issuance of such Disclosure Request such Recipient shall use commercially reasonable efforts to cause such Third Party CI Holder to take the actions described in clauses (a) and (b) of this Section 7.4 as obligations of the Recipient.</w:t>
      </w:r>
    </w:p>
    <w:p>
      <w:pPr>
        <w:spacing w:after="0" w:line="191" w:lineRule="exact"/>
        <w:rPr>
          <w:rFonts w:ascii="Arial" w:cs="Arial" w:eastAsia="Arial" w:hAnsi="Arial"/>
          <w:sz w:val="22"/>
          <w:szCs w:val="22"/>
          <w:color w:val="auto"/>
        </w:rPr>
      </w:pPr>
    </w:p>
    <w:p>
      <w:pPr>
        <w:jc w:val="both"/>
        <w:ind w:left="660" w:hanging="652"/>
        <w:spacing w:after="0" w:line="265" w:lineRule="auto"/>
        <w:tabs>
          <w:tab w:leader="none" w:pos="648" w:val="left"/>
        </w:tabs>
        <w:numPr>
          <w:ilvl w:val="0"/>
          <w:numId w:val="106"/>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obligations of the Recipient in connection with Disclosure Requests shall not apply with respect to requests made by a regulatory or self-regulatory body having jurisdiction over the Recipient when such disclosures are required by law as a matter of general or routine examinations in which no specific request is made for Confidential Information relating to the Disclosing Party or the Claim(s).</w:t>
      </w:r>
    </w:p>
    <w:p>
      <w:pPr>
        <w:spacing w:after="0" w:line="169"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Legal Privilege</w:t>
      </w:r>
    </w:p>
    <w:p>
      <w:pPr>
        <w:spacing w:after="0" w:line="220"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Common Interest Privilege Applies</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parties agree that the Counterparty, the Capital Provider and the Capital Provider’s Affiliates have a “common legal interest” in each Claim and its successful prosecution, this Agreement and the other Transaction Documents, and any discussion, evaluation and negotiation and other communications and exchanges of information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40"/>
          </w:cols>
          <w:pgMar w:left="320" w:top="1428" w:right="339" w:bottom="1440" w:gutter="0" w:footer="0" w:header="0"/>
        </w:sectPr>
      </w:pPr>
    </w:p>
    <w:bookmarkStart w:id="156" w:name="page157"/>
    <w:bookmarkEnd w:id="156"/>
    <w:p>
      <w:pPr>
        <w:ind w:left="340"/>
        <w:spacing w:after="0"/>
        <w:tabs>
          <w:tab w:leader="none" w:pos="80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Information Subject to Privilege Protection</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Notwithstanding any contrary provision of this Agreement, the parties agree that any Protected Material shall at all times remain subject to all applicable Privileges, it being the express intent of the parties and their Affiliates to preserve intact to the fullest extent applicable, and not to waive, by virtue of this Agreement or otherwise, in whole or in part, any and all Privileges to which Protected Material, or any part of it, is, may be or may in the future become subject. It is the good faith belief of the Disclosing Party that Privileges, including the common interest privilege, attach to the Protected Material and disclosure of Protected Material is made in reliance on that good faith belief.</w:t>
      </w:r>
    </w:p>
    <w:p>
      <w:pPr>
        <w:spacing w:after="0" w:line="17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Information Subject to Work Product Protection</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parties agree that without limiting the foregoing, any materials prepared in anticipation of litigation by or for the Counterparty, the Capital Provider, any of its respective Affiliates or any of their respective Representatives shall remain subject to work product protection. [***] Moreover, the parties agree that information shared between the Counterparty and the Capital Provider is shared pursuant to a common interest and non-disclosure agreement, and the exchange of such information does not increase the risk of disclosure, inadvertent or otherwise, to the Adverse Party or any other adversary and does not lessen or waive the protection secured under work product doctrine. Disclosure of work product is made in reliance on that good faith belief.</w:t>
      </w:r>
    </w:p>
    <w:p>
      <w:pPr>
        <w:spacing w:after="0" w:line="14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No Obligation to Provide Privileged Information</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Notwithstanding other provisions of this Agreement, prior to the exercise of the Assignment, the Counterparty is not obliged to provide to the Capital Provider any information that is subject to attorney-client privilege;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Counterparty withholds from the Capital Provider information otherwise required by this Agreement on the basis of attorney-client privilege, any other Privilege or any similar doctrine of confidentiality, it shall provide prompt notice thereof to the Capital Provider.</w:t>
      </w:r>
    </w:p>
    <w:p>
      <w:pPr>
        <w:spacing w:after="0" w:line="136"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Capital Provider (the “</w:t>
      </w:r>
      <w:r>
        <w:rPr>
          <w:rFonts w:ascii="Arial" w:cs="Arial" w:eastAsia="Arial" w:hAnsi="Arial"/>
          <w:sz w:val="19"/>
          <w:szCs w:val="19"/>
          <w:b w:val="1"/>
          <w:bCs w:val="1"/>
          <w:i w:val="1"/>
          <w:iCs w:val="1"/>
          <w:color w:val="auto"/>
        </w:rPr>
        <w:t>Capital Provider Indemnifying Party</w:t>
      </w:r>
      <w:r>
        <w:rPr>
          <w:rFonts w:ascii="Arial" w:cs="Arial" w:eastAsia="Arial" w:hAnsi="Arial"/>
          <w:sz w:val="19"/>
          <w:szCs w:val="19"/>
          <w:color w:val="auto"/>
        </w:rPr>
        <w:t>”) agrees to indemnify, defend and hold the Counterparty and its Representatives (the “</w:t>
      </w:r>
      <w:r>
        <w:rPr>
          <w:rFonts w:ascii="Arial" w:cs="Arial" w:eastAsia="Arial" w:hAnsi="Arial"/>
          <w:sz w:val="19"/>
          <w:szCs w:val="19"/>
          <w:b w:val="1"/>
          <w:bCs w:val="1"/>
          <w:i w:val="1"/>
          <w:iCs w:val="1"/>
          <w:color w:val="auto"/>
        </w:rPr>
        <w:t>Counterparty Indemnified Parties</w:t>
      </w:r>
      <w:r>
        <w:rPr>
          <w:rFonts w:ascii="Arial" w:cs="Arial" w:eastAsia="Arial" w:hAnsi="Arial"/>
          <w:sz w:val="19"/>
          <w:szCs w:val="19"/>
          <w:color w:val="auto"/>
        </w:rPr>
        <w:t>”) free and harmless from and against any and all losses, costs, charges, damages and expenses (including reasonable attorneys’ fees and costs of experts and advisors) (collectively,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xml:space="preserve">”) that may be imposed on, incurred by or asserted against any Counterparty Indemnified Party in any matter arising from or related actions taken by the Capital Provider in connection with the Transaction Documents, the Claim or the Settlement Agreement or actions taken (or not taken) by the Counterparty at the direction or with the consent of the Capital Provider in connection with the Transaction Documents, the Claim or the Settlement Agreement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Capital Provider shall not be liable for Losses caused by the gross negligence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84" w:lineRule="auto"/>
        <w:rPr>
          <w:sz w:val="20"/>
          <w:szCs w:val="20"/>
          <w:color w:val="auto"/>
        </w:rPr>
      </w:pPr>
      <w:r>
        <w:rPr>
          <w:rFonts w:ascii="Arial" w:cs="Arial" w:eastAsia="Arial" w:hAnsi="Arial"/>
          <w:sz w:val="19"/>
          <w:szCs w:val="19"/>
          <w:color w:val="auto"/>
        </w:rPr>
        <w:t>willful misconduct of the Counterparty or any of its Representatives, as determined by a court of competent jurisdiction in a final non-appealable judgment or order. Any Counterparty Indemnified Party who receives notice of a claim for which it shall seek indemnification hereunder shall promptly notify the Capital Provider Indemnifying Party of such claim in writing. The Capital Provider Indemnifying Party shall have the right to assume the defense of such action at its cost with counsel reasonably acceptable to the Counterparty Indemnified Party; provided, that the Capital Provider Indemnifying Party shall not have any right to assume the defense of any claim for equitable or injunctive relief or any claim that would impose criminal liability or criminal penalties and the Counterparty Indemnified Party shall have the right to defend any such claim with counsel reasonably acceptable to the Capital Provider Indemnifying Party at the Capital Provider Indemnifying Party’s sole cost and expense; and, provided further, the Capital Provider Indemnifying Party shall be liable for the fees and expenses of counsel employed by the Counterparty Indemnified Parties for any period during which the Capital Provider Indemnifying Party has failed to assume the defense thereof. The Counterparty Indemnified Party shall have the right to participate in such defense with its own counsel at its cost; provided, that the fees and expenses of such counsel shall be at the Capital Provider Indemnifying Party’s sole cost and expense if (a) the named parties to the claim (including any impleaded parties) include both the Capital Provider Indemnifying Party (or any of its Affiliates) and a Counterparty Indemnified Party, and the Counterparty Indemnified Party reasonably determines (after consultation with counsel) that representation by counsel to the Capital Provider Indemnifying Party (or its Affiliate) of both the Capital Provider Indemnifying Party (or its Affiliate) and the Counterparty Indemnified Parties may present such counsel with a conflict of interest or (b) the Capital Provider Indemnifying Party is not defending such claim in good faith. If the Capital Provider Indemnifying Party assumes the defense of any claim, the Capital Provider Indemnifying Party shall not, without the prior written consent of the Counterparty Indemnified Party, enter into any settlement or compromise or consent to the entry of any judgment with respect to such claim if such settlement, compromise or judgment (a) involves a finding or admission of wrongdoing, (b) does not include an unconditional written release by the claimant or plaintiff of the Counterparty Indemnified Party from all liability in respect of such claim or (iii) imposes equitable remedies or any obligation on the Counterparty Indemnified Party other than solely the payment of money damages for which the Counterparty Indemnified Party will be indemnified hereunder. Any failure by the Counterparty Indemnified Party to give prompt notice of a claim hereunder shall not relieve the Capital Provider Indemnifying Party of its indemnification obligation except to the extent the Capital Provider Indemnifying Party is actually and materially prejudiced by such failure. The indemnification required hereunder shall be made by prompt payment by the Capital Provider Indemnifying Party of the amount of actual Losses in connection therewith, as and when bills are received by the Counterparty Indemnified Parties or Losses incurred have been notified to the Counterparty Indemnified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40"/>
          </w:cols>
          <w:pgMar w:left="320" w:top="1428" w:right="339" w:bottom="1440" w:gutter="0" w:footer="0" w:header="0"/>
        </w:sectPr>
      </w:pPr>
    </w:p>
    <w:bookmarkStart w:id="158" w:name="page159"/>
    <w:bookmarkEnd w:id="158"/>
    <w:p>
      <w:pPr>
        <w:ind w:left="660" w:hanging="652"/>
        <w:spacing w:after="0"/>
        <w:tabs>
          <w:tab w:leader="none" w:pos="6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Exculpation; Reinstatement</w:t>
      </w:r>
    </w:p>
    <w:p>
      <w:pPr>
        <w:spacing w:after="0" w:line="226" w:lineRule="exact"/>
        <w:rPr>
          <w:sz w:val="20"/>
          <w:szCs w:val="20"/>
          <w:color w:val="auto"/>
        </w:rPr>
      </w:pPr>
    </w:p>
    <w:p>
      <w:pPr>
        <w:jc w:val="both"/>
        <w:ind w:left="660" w:hanging="652"/>
        <w:spacing w:after="0" w:line="265" w:lineRule="auto"/>
        <w:tabs>
          <w:tab w:leader="none" w:pos="64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Counterparty shall retain no liabilities or obligations to parties other than the Capital Provider and its Representatives in any matter arising out of or related to the Claim or the Settlement Agreement from and after the Closing Date; provided that the foregoing shall not apply to liabilities or obligations which were incurred by the Counterparty prior to the Closing Date or relate to actions taken by the Counterparty prior to the Closing Date.</w:t>
      </w:r>
    </w:p>
    <w:p>
      <w:pPr>
        <w:spacing w:after="0" w:line="175" w:lineRule="exact"/>
        <w:rPr>
          <w:rFonts w:ascii="Arial" w:cs="Arial" w:eastAsia="Arial" w:hAnsi="Arial"/>
          <w:sz w:val="21"/>
          <w:szCs w:val="21"/>
          <w:color w:val="auto"/>
        </w:rPr>
      </w:pPr>
    </w:p>
    <w:p>
      <w:pPr>
        <w:jc w:val="both"/>
        <w:ind w:left="660" w:hanging="652"/>
        <w:spacing w:after="0" w:line="292" w:lineRule="auto"/>
        <w:tabs>
          <w:tab w:leader="none" w:pos="6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The maximum liability of the Capital Provider under this Agreement and the other Transaction Documents (and the transactions contemplated hereby and thereby) in relation to any Claim is capped at an amount equal to the Capital Amount,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in the event of any fraud or willful misconduct of the Capital Provider. This limitation of liability is absolute and applies to liability for (without limitation) breach of contract, negligence and gross negligence, and for any damages that may constitute compensatory damages, lost profit, expenses, costs, losses or charges, or consequential, exemplary or punitive damages or otherwise, except in each case in the event of fraud or willful misconduct by the Capital Provider or its Representative. This limitation of liability extends to the Capital Provider and its Representatives.</w:t>
      </w:r>
    </w:p>
    <w:p>
      <w:pPr>
        <w:spacing w:after="0" w:line="150" w:lineRule="exact"/>
        <w:rPr>
          <w:rFonts w:ascii="Arial" w:cs="Arial" w:eastAsia="Arial" w:hAnsi="Arial"/>
          <w:sz w:val="19"/>
          <w:szCs w:val="19"/>
          <w:color w:val="auto"/>
        </w:rPr>
      </w:pPr>
    </w:p>
    <w:p>
      <w:pPr>
        <w:jc w:val="both"/>
        <w:ind w:left="660" w:hanging="652"/>
        <w:spacing w:after="0" w:line="288" w:lineRule="auto"/>
        <w:tabs>
          <w:tab w:leader="none" w:pos="64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Prior to the execution and delivery of the Assignment, to the extent any payment received by the Capital Provider, or obligation incurred by the Counterparty pursuant to any of the Transaction Documents, is subsequently invalidated, declared to be fraudulent or preferential, set aside or required to be repaid in whole or in part by the Capital Provider or paid over to a trustee, receiver or any other entity, whether under any bankruptcy law, insolvency, fraudulent transfer law or otherwise (any such payment or obligation being hereinafter referred to as a “</w:t>
      </w:r>
      <w:r>
        <w:rPr>
          <w:rFonts w:ascii="Arial" w:cs="Arial" w:eastAsia="Arial" w:hAnsi="Arial"/>
          <w:sz w:val="19"/>
          <w:szCs w:val="19"/>
          <w:b w:val="1"/>
          <w:bCs w:val="1"/>
          <w:i w:val="1"/>
          <w:iCs w:val="1"/>
          <w:color w:val="auto"/>
        </w:rPr>
        <w:t>Challenged Item</w:t>
      </w:r>
      <w:r>
        <w:rPr>
          <w:rFonts w:ascii="Arial" w:cs="Arial" w:eastAsia="Arial" w:hAnsi="Arial"/>
          <w:sz w:val="19"/>
          <w:szCs w:val="19"/>
          <w:color w:val="auto"/>
        </w:rPr>
        <w:t>”), then the nonrecourse obligations of the Counterparty pursuant to this Agreement with respect to such Challenged Item shall (i) be fully reinstated and revived, as the case may be, notwithstanding such payment or incurrence, and (ii) to the extent of each such Challenged Item, remain effective and continue in full force and effect as if said Challenged Item had not occurred or been made; provided that the Counterparty’s reinstated obligation shall be on a non-recourse basis, and the Capital Provider’s Entitlement shall be derived from, computed on the basis of and paid solely from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-2602230</wp:posOffset>
            </wp:positionV>
            <wp:extent cx="582930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1">
                      <a:extLst>
                        <a:ext uri="{28A0092B-C50C-407E-A947-70E740481C1C}"/>
                      </a:extLst>
                    </a:blip>
                    <a:srcRect/>
                    <a:stretch>
                      <a:fillRect/>
                    </a:stretch>
                  </pic:blipFill>
                  <pic:spPr bwMode="auto">
                    <a:xfrm>
                      <a:off x="0" y="0"/>
                      <a:ext cx="5829300" cy="146050"/>
                    </a:xfrm>
                    <a:prstGeom prst="rect">
                      <a:avLst/>
                    </a:prstGeom>
                    <a:noFill/>
                  </pic:spPr>
                </pic:pic>
              </a:graphicData>
            </a:graphic>
          </wp:anchor>
        </w:drawing>
      </w:r>
    </w:p>
    <w:p>
      <w:pPr>
        <w:spacing w:after="0" w:line="133"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 on Transfer, Successors and Assigns; Third Party Beneficiaries</w:t>
      </w:r>
    </w:p>
    <w:p>
      <w:pPr>
        <w:spacing w:after="0" w:line="226" w:lineRule="exact"/>
        <w:rPr>
          <w:sz w:val="20"/>
          <w:szCs w:val="20"/>
          <w:color w:val="auto"/>
        </w:rPr>
      </w:pPr>
    </w:p>
    <w:p>
      <w:pPr>
        <w:jc w:val="both"/>
        <w:ind w:left="660" w:hanging="652"/>
        <w:spacing w:after="0" w:line="250" w:lineRule="auto"/>
        <w:tabs>
          <w:tab w:leader="none" w:pos="64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Neither this Agreement nor any other Transaction Document, nor any right or obligation in or under this Agreement or any other Transaction Document, may be transferred (whether by way of security or otherwise) or delegated by the Counterparty without the prior written consent of the Capital Provider, which shall not be unreasonably withheld or delayed. Notwithstanding the foregoing,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1240"/>
          </w:cols>
          <w:pgMar w:left="320" w:top="1422" w:right="339" w:bottom="1440" w:gutter="0" w:footer="0" w:header="0"/>
        </w:sectPr>
      </w:pPr>
    </w:p>
    <w:bookmarkStart w:id="159" w:name="page160"/>
    <w:bookmarkEnd w:id="159"/>
    <w:p>
      <w:pPr>
        <w:jc w:val="both"/>
        <w:ind w:left="660"/>
        <w:spacing w:after="0" w:line="259" w:lineRule="auto"/>
        <w:rPr>
          <w:sz w:val="20"/>
          <w:szCs w:val="20"/>
          <w:color w:val="auto"/>
        </w:rPr>
      </w:pPr>
      <w:r>
        <w:rPr>
          <w:rFonts w:ascii="Arial" w:cs="Arial" w:eastAsia="Arial" w:hAnsi="Arial"/>
          <w:sz w:val="21"/>
          <w:szCs w:val="21"/>
          <w:color w:val="auto"/>
        </w:rPr>
        <w:t>Counterparty may transfer this Agreement, any Transaction Document and any rights and obligations hereunder and thereunder to a liquidating trust or other vehicle established to effect the consummation of its dissolution and liquidation. The Capital Provider may assign its rights and obligations under this Agreement and the other Transaction Documents, in whole or in part, (i) to an Affiliate of the Capital Provider; (ii) to a Person that is not an Affiliate of the Capital Provider with the prior written consent of the Counterparty, which shall not be unreasonably withheld or delayed; and/or (iii) from and after the execution and delivery of the Assignment, to a Person that is not an Affiliate of the Capital Provider so long as the Capital Provider continues to administer this Agreement as a servicing entity and remains fully liable for all indemnification obligations pursuant to Section 9. Any purported transfer that is not in compliance with this provision shall be void.</w:t>
      </w:r>
    </w:p>
    <w:p>
      <w:pPr>
        <w:spacing w:after="0" w:line="179" w:lineRule="exact"/>
        <w:rPr>
          <w:sz w:val="20"/>
          <w:szCs w:val="20"/>
          <w:color w:val="auto"/>
        </w:rPr>
      </w:pPr>
    </w:p>
    <w:p>
      <w:pPr>
        <w:ind w:left="660" w:hanging="652"/>
        <w:spacing w:after="0" w:line="263" w:lineRule="auto"/>
        <w:tabs>
          <w:tab w:leader="none" w:pos="6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This Agreement shall be binding upon and inure to the benefit of the parties hereto and their respective successors and permitted assigns.</w:t>
      </w:r>
    </w:p>
    <w:p>
      <w:pPr>
        <w:spacing w:after="0" w:line="174" w:lineRule="exact"/>
        <w:rPr>
          <w:rFonts w:ascii="Arial" w:cs="Arial" w:eastAsia="Arial" w:hAnsi="Arial"/>
          <w:sz w:val="22"/>
          <w:szCs w:val="22"/>
          <w:color w:val="auto"/>
        </w:rPr>
      </w:pPr>
    </w:p>
    <w:p>
      <w:pPr>
        <w:ind w:left="660" w:hanging="652"/>
        <w:spacing w:after="0" w:line="263" w:lineRule="auto"/>
        <w:tabs>
          <w:tab w:leader="none" w:pos="64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No Person other than the parties hereto (and the Counterparty Indemnified Parties, and any permitted transferee hereunder) shall have any rights under this Agreement.</w:t>
      </w:r>
    </w:p>
    <w:p>
      <w:pPr>
        <w:spacing w:after="0" w:line="169"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Counterparty shall make all payments under or in connection with this Agreement without any deduction or withholding for or on account of any Tax, except as may be required by applicable law. If any such deduction or withholding is required by law to be made, the Counterparty shall (</w:t>
      </w:r>
      <w:r>
        <w:rPr>
          <w:rFonts w:ascii="Arial" w:cs="Arial" w:eastAsia="Arial" w:hAnsi="Arial"/>
          <w:sz w:val="21"/>
          <w:szCs w:val="21"/>
          <w:u w:val="single" w:color="auto"/>
          <w:color w:val="auto"/>
        </w:rPr>
        <w:t>a</w:t>
      </w:r>
      <w:r>
        <w:rPr>
          <w:rFonts w:ascii="Arial" w:cs="Arial" w:eastAsia="Arial" w:hAnsi="Arial"/>
          <w:sz w:val="21"/>
          <w:szCs w:val="21"/>
          <w:color w:val="auto"/>
          <w:highlight w:val="white"/>
        </w:rPr>
        <w:t>) promptly notify the Capital Provider upon becoming aware that it must make such a</w:t>
      </w:r>
      <w:r>
        <w:rPr>
          <w:rFonts w:ascii="Arial" w:cs="Arial" w:eastAsia="Arial" w:hAnsi="Arial"/>
          <w:sz w:val="21"/>
          <w:szCs w:val="21"/>
          <w:color w:val="auto"/>
        </w:rPr>
        <w:t xml:space="preserve"> deduction or withholding; (</w:t>
      </w:r>
      <w:r>
        <w:rPr>
          <w:rFonts w:ascii="Arial" w:cs="Arial" w:eastAsia="Arial" w:hAnsi="Arial"/>
          <w:sz w:val="21"/>
          <w:szCs w:val="21"/>
          <w:u w:val="single" w:color="auto"/>
          <w:color w:val="auto"/>
        </w:rPr>
        <w:t>b</w:t>
      </w:r>
      <w:r>
        <w:rPr>
          <w:rFonts w:ascii="Arial" w:cs="Arial" w:eastAsia="Arial" w:hAnsi="Arial"/>
          <w:sz w:val="21"/>
          <w:szCs w:val="21"/>
          <w:color w:val="auto"/>
        </w:rPr>
        <w:t>) be entitled to withhold and pay to the relevant authorities (within the time allowed) the full amount required to be deducted or withheld; and (</w:t>
      </w:r>
      <w:r>
        <w:rPr>
          <w:rFonts w:ascii="Arial" w:cs="Arial" w:eastAsia="Arial" w:hAnsi="Arial"/>
          <w:sz w:val="21"/>
          <w:szCs w:val="21"/>
          <w:u w:val="single" w:color="auto"/>
          <w:color w:val="auto"/>
        </w:rPr>
        <w:t>c</w:t>
      </w:r>
      <w:r>
        <w:rPr>
          <w:rFonts w:ascii="Arial" w:cs="Arial" w:eastAsia="Arial" w:hAnsi="Arial"/>
          <w:sz w:val="21"/>
          <w:szCs w:val="21"/>
          <w:color w:val="auto"/>
        </w:rPr>
        <w:t>) promptly provide evidence reasonably acceptable to the Capital Provider evidencing the relevant withholding and payment to such authorities. The Capital Provider shall deliver to the Counterparty on the Closing Date (and upon the request of the Counterparty prior to the time that any payment is made to the Counterparty pursuant to this Agreement), executed copies of IRS Form W-9 certifying that the Capital Provider is exempt from U.S. federal backup withholding taxes.</w:t>
      </w:r>
    </w:p>
    <w:p>
      <w:pPr>
        <w:spacing w:after="0" w:line="173"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Anti-Corruption; Data Protection</w:t>
      </w:r>
    </w:p>
    <w:p>
      <w:pPr>
        <w:spacing w:after="0" w:line="226" w:lineRule="exact"/>
        <w:rPr>
          <w:sz w:val="20"/>
          <w:szCs w:val="20"/>
          <w:color w:val="auto"/>
        </w:rPr>
      </w:pPr>
    </w:p>
    <w:p>
      <w:pPr>
        <w:jc w:val="both"/>
        <w:ind w:left="660" w:hanging="652"/>
        <w:spacing w:after="0" w:line="250" w:lineRule="auto"/>
        <w:tabs>
          <w:tab w:leader="none" w:pos="64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Each of the Counterparty and the Capital Provider acknowledges to the other party that such party seeks to comply with all applicable anti-money laundering, sanctions, anti-corruption and anti-bribery laws and regulations (collectively, “</w:t>
      </w:r>
      <w:r>
        <w:rPr>
          <w:rFonts w:ascii="Arial" w:cs="Arial" w:eastAsia="Arial" w:hAnsi="Arial"/>
          <w:sz w:val="22"/>
          <w:szCs w:val="22"/>
          <w:b w:val="1"/>
          <w:bCs w:val="1"/>
          <w:i w:val="1"/>
          <w:iCs w:val="1"/>
          <w:color w:val="auto"/>
        </w:rPr>
        <w:t>Anti-Corruption Rules</w:t>
      </w:r>
      <w:r>
        <w:rPr>
          <w:rFonts w:ascii="Arial" w:cs="Arial" w:eastAsia="Arial" w:hAnsi="Arial"/>
          <w:sz w:val="22"/>
          <w:szCs w:val="22"/>
          <w:color w:val="auto"/>
        </w:rPr>
        <w:t>”). In furtherance of these efforts, each of the Counterparty and the Capital Provider represents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warrants to the other party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40"/>
          </w:cols>
          <w:pgMar w:left="320" w:top="1428" w:right="339" w:bottom="1440" w:gutter="0" w:footer="0" w:header="0"/>
        </w:sectPr>
      </w:pPr>
    </w:p>
    <w:bookmarkStart w:id="160" w:name="page161"/>
    <w:bookmarkEnd w:id="160"/>
    <w:p>
      <w:pPr>
        <w:jc w:val="both"/>
        <w:ind w:left="1300" w:hanging="193"/>
        <w:spacing w:after="0" w:line="253" w:lineRule="auto"/>
        <w:rPr>
          <w:sz w:val="20"/>
          <w:szCs w:val="20"/>
          <w:color w:val="auto"/>
        </w:rPr>
      </w:pPr>
      <w:r>
        <w:rPr>
          <w:rFonts w:ascii="Arial" w:cs="Arial" w:eastAsia="Arial" w:hAnsi="Arial"/>
          <w:sz w:val="22"/>
          <w:szCs w:val="22"/>
          <w:color w:val="auto"/>
        </w:rPr>
        <w:t>i. it is not the target of any economic or financial sanctions with respect to the United States Government (including the U.S. Department of Treasury Office of Foreign Assets Control), the United Nations Security Council or the European Union;</w:t>
      </w:r>
    </w:p>
    <w:p>
      <w:pPr>
        <w:spacing w:after="0" w:line="185" w:lineRule="exact"/>
        <w:rPr>
          <w:sz w:val="20"/>
          <w:szCs w:val="20"/>
          <w:color w:val="auto"/>
        </w:rPr>
      </w:pPr>
    </w:p>
    <w:p>
      <w:pPr>
        <w:jc w:val="both"/>
        <w:ind w:left="1300" w:right="20" w:hanging="193"/>
        <w:spacing w:after="0" w:line="263" w:lineRule="auto"/>
        <w:rPr>
          <w:sz w:val="20"/>
          <w:szCs w:val="20"/>
          <w:color w:val="auto"/>
        </w:rPr>
      </w:pPr>
      <w:r>
        <w:rPr>
          <w:rFonts w:ascii="Arial" w:cs="Arial" w:eastAsia="Arial" w:hAnsi="Arial"/>
          <w:sz w:val="22"/>
          <w:szCs w:val="22"/>
          <w:color w:val="auto"/>
        </w:rPr>
        <w:t>ii.in the case of the Capital Provider, the source of funds for the Capital Amount originates from activities that are not prohibited under any U.S. state or federal law; and</w:t>
      </w:r>
    </w:p>
    <w:p>
      <w:pPr>
        <w:spacing w:after="0" w:line="175" w:lineRule="exact"/>
        <w:rPr>
          <w:sz w:val="20"/>
          <w:szCs w:val="20"/>
          <w:color w:val="auto"/>
        </w:rPr>
      </w:pPr>
    </w:p>
    <w:p>
      <w:pPr>
        <w:ind w:left="1960" w:hanging="850"/>
        <w:spacing w:after="0"/>
        <w:tabs>
          <w:tab w:leader="none" w:pos="19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neither it nor any of its Affiliates, nor to its knowledge anyone acting on its behalf, has at any time:</w:t>
      </w:r>
    </w:p>
    <w:p>
      <w:pPr>
        <w:spacing w:after="0" w:line="231" w:lineRule="exact"/>
        <w:rPr>
          <w:rFonts w:ascii="Arial" w:cs="Arial" w:eastAsia="Arial" w:hAnsi="Arial"/>
          <w:sz w:val="21"/>
          <w:szCs w:val="21"/>
          <w:color w:val="auto"/>
        </w:rPr>
      </w:pPr>
    </w:p>
    <w:p>
      <w:pPr>
        <w:ind w:left="1960" w:right="20" w:hanging="656"/>
        <w:spacing w:after="0" w:line="263" w:lineRule="auto"/>
        <w:tabs>
          <w:tab w:leader="none" w:pos="1954" w:val="left"/>
        </w:tabs>
        <w:numPr>
          <w:ilvl w:val="1"/>
          <w:numId w:val="117"/>
        </w:numPr>
        <w:rPr>
          <w:rFonts w:ascii="Arial" w:cs="Arial" w:eastAsia="Arial" w:hAnsi="Arial"/>
          <w:sz w:val="22"/>
          <w:szCs w:val="22"/>
          <w:color w:val="auto"/>
        </w:rPr>
      </w:pPr>
      <w:r>
        <w:rPr>
          <w:rFonts w:ascii="Arial" w:cs="Arial" w:eastAsia="Arial" w:hAnsi="Arial"/>
          <w:sz w:val="22"/>
          <w:szCs w:val="22"/>
          <w:color w:val="auto"/>
        </w:rPr>
        <w:t>violated, or engaged in any activity, practice or conduct which would violate, any applicable Anti-Corruption Rule;</w:t>
      </w:r>
    </w:p>
    <w:p>
      <w:pPr>
        <w:spacing w:after="0" w:line="174" w:lineRule="exact"/>
        <w:rPr>
          <w:rFonts w:ascii="Arial" w:cs="Arial" w:eastAsia="Arial" w:hAnsi="Arial"/>
          <w:sz w:val="22"/>
          <w:szCs w:val="22"/>
          <w:color w:val="auto"/>
        </w:rPr>
      </w:pPr>
    </w:p>
    <w:p>
      <w:pPr>
        <w:ind w:left="1960" w:hanging="656"/>
        <w:spacing w:after="0" w:line="287" w:lineRule="auto"/>
        <w:tabs>
          <w:tab w:leader="none" w:pos="1956" w:val="left"/>
        </w:tabs>
        <w:numPr>
          <w:ilvl w:val="1"/>
          <w:numId w:val="117"/>
        </w:numPr>
        <w:rPr>
          <w:rFonts w:ascii="Arial" w:cs="Arial" w:eastAsia="Arial" w:hAnsi="Arial"/>
          <w:sz w:val="21"/>
          <w:szCs w:val="21"/>
          <w:color w:val="auto"/>
        </w:rPr>
      </w:pPr>
      <w:r>
        <w:rPr>
          <w:rFonts w:ascii="Arial" w:cs="Arial" w:eastAsia="Arial" w:hAnsi="Arial"/>
          <w:sz w:val="21"/>
          <w:szCs w:val="21"/>
          <w:color w:val="auto"/>
        </w:rPr>
        <w:t>used funds or assets for any unlawful contribution, gift, entertainment or other unlawful expense, or made any bribe, rebate, payoff, influence payment, kickback or other unlawful payment; or</w:t>
      </w:r>
    </w:p>
    <w:p>
      <w:pPr>
        <w:spacing w:after="0" w:line="151" w:lineRule="exact"/>
        <w:rPr>
          <w:rFonts w:ascii="Arial" w:cs="Arial" w:eastAsia="Arial" w:hAnsi="Arial"/>
          <w:sz w:val="21"/>
          <w:szCs w:val="21"/>
          <w:color w:val="auto"/>
        </w:rPr>
      </w:pPr>
    </w:p>
    <w:p>
      <w:pPr>
        <w:jc w:val="both"/>
        <w:ind w:left="1960" w:hanging="656"/>
        <w:spacing w:after="0" w:line="259" w:lineRule="auto"/>
        <w:tabs>
          <w:tab w:leader="none" w:pos="1956" w:val="left"/>
        </w:tabs>
        <w:numPr>
          <w:ilvl w:val="1"/>
          <w:numId w:val="117"/>
        </w:numPr>
        <w:rPr>
          <w:rFonts w:ascii="Arial" w:cs="Arial" w:eastAsia="Arial" w:hAnsi="Arial"/>
          <w:sz w:val="21"/>
          <w:szCs w:val="21"/>
          <w:color w:val="auto"/>
        </w:rPr>
      </w:pPr>
      <w:r>
        <w:rPr>
          <w:rFonts w:ascii="Arial" w:cs="Arial" w:eastAsia="Arial" w:hAnsi="Arial"/>
          <w:sz w:val="21"/>
          <w:szCs w:val="21"/>
          <w:color w:val="auto"/>
        </w:rPr>
        <w:t>directly, or indirectly through its agents, Representatives or any other Person authorized to act on its behalf, offered, promised, paid, given, or authorized the payment or giving of money or anything else of value to any government official or other Person while knowing or having reason to believe that some portion or all of the payment or thing of value will be offered, promised, or given, directly or indirectly, to a government official or another Person for the purpose of influencing any act or decision of such government official or such Person in his/her or its official capacity, including a decision to do or omit to do any act in violation of his/her or its lawful duties or proper performance of functions or inducing such government official or such Person to use his/her or its influence or position with any Governmental Authority or other Person to influence any act or decision,</w:t>
      </w:r>
    </w:p>
    <w:p>
      <w:pPr>
        <w:spacing w:after="0" w:line="179"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in each case in order to obtain or retain business for, direct business to, or secure an improper advantage for, the Counterparty or any of its Affiliates, on the one hand, or the Capital Provider or any of its Affiliates, on the other hand.</w:t>
      </w:r>
    </w:p>
    <w:p>
      <w:pPr>
        <w:spacing w:after="0" w:line="185" w:lineRule="exact"/>
        <w:rPr>
          <w:sz w:val="20"/>
          <w:szCs w:val="20"/>
          <w:color w:val="auto"/>
        </w:rPr>
      </w:pPr>
    </w:p>
    <w:p>
      <w:pPr>
        <w:jc w:val="both"/>
        <w:ind w:left="660" w:hanging="652"/>
        <w:spacing w:after="0" w:line="250" w:lineRule="auto"/>
        <w:tabs>
          <w:tab w:leader="none" w:pos="6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Each of the Counterparty and the Capital Provider will not engage in any business or other activities, including through agents or subcontractors, that could cause the other party to be in direct or indirect violation of any applicable Anti-Corruption Rule. In the event the Counterparty’s payment to the Capital Provider of any amounts owed hereunder would cause the Capital Provider to be in direct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1240"/>
          </w:cols>
          <w:pgMar w:left="320" w:top="1428" w:right="339" w:bottom="1440" w:gutter="0" w:footer="0" w:header="0"/>
        </w:sectPr>
      </w:pPr>
    </w:p>
    <w:bookmarkStart w:id="161" w:name="page162"/>
    <w:bookmarkEnd w:id="161"/>
    <w:p>
      <w:pPr>
        <w:jc w:val="both"/>
        <w:ind w:left="660"/>
        <w:spacing w:after="0" w:line="297" w:lineRule="auto"/>
        <w:rPr>
          <w:sz w:val="20"/>
          <w:szCs w:val="20"/>
          <w:color w:val="auto"/>
        </w:rPr>
      </w:pPr>
      <w:r>
        <w:rPr>
          <w:rFonts w:ascii="Arial" w:cs="Arial" w:eastAsia="Arial" w:hAnsi="Arial"/>
          <w:sz w:val="19"/>
          <w:szCs w:val="19"/>
          <w:color w:val="auto"/>
        </w:rPr>
        <w:t>indirect violation of an applicable Anti-Corruption Rule, the Counterparty shall in good faith cooperate with the Capital Provider and/or its Affiliates to identify a payment mechanism that would not violate any such rule. In the event the Capital Provider’s payment to the Counterparty of any amounts owed hereunder would cause the Counterparty to be in direct or indirect violation of an applicable Anti-Corruption Rule, the Capital Provider shall in good faith cooperate with the Counterparty and/or its Affiliates to identify a payment mechanism that would not violate any such rule.</w:t>
      </w:r>
    </w:p>
    <w:p>
      <w:pPr>
        <w:spacing w:after="0" w:line="147" w:lineRule="exact"/>
        <w:rPr>
          <w:sz w:val="20"/>
          <w:szCs w:val="20"/>
          <w:color w:val="auto"/>
        </w:rPr>
      </w:pPr>
    </w:p>
    <w:p>
      <w:pPr>
        <w:jc w:val="both"/>
        <w:ind w:left="660" w:hanging="652"/>
        <w:spacing w:after="0" w:line="250" w:lineRule="auto"/>
        <w:tabs>
          <w:tab w:leader="none" w:pos="64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Each of the Counterparty and the Capital Provider acknowledges and agrees that, notwithstanding anything to the contrary, such party shall have no obligation to make or receive any payment or take any other action if either party concludes in good faith that making or receiving such payment or taking such action would violate any applicable Anti-Corruption Rule.</w:t>
      </w:r>
    </w:p>
    <w:p>
      <w:pPr>
        <w:spacing w:after="0" w:line="187" w:lineRule="exact"/>
        <w:rPr>
          <w:rFonts w:ascii="Arial" w:cs="Arial" w:eastAsia="Arial" w:hAnsi="Arial"/>
          <w:sz w:val="22"/>
          <w:szCs w:val="22"/>
          <w:color w:val="auto"/>
        </w:rPr>
      </w:pPr>
    </w:p>
    <w:p>
      <w:pPr>
        <w:jc w:val="both"/>
        <w:ind w:left="660" w:hanging="652"/>
        <w:spacing w:after="0" w:line="289" w:lineRule="auto"/>
        <w:tabs>
          <w:tab w:leader="none" w:pos="66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of the Counterparty and the Capital Provider will comply with all applicable data privacy and protection laws, including but not limited to the California Consumer Privacy Act, Regulation (EU) 2016/679 of the European Parliament and Council of 27 April 2016 (General Data Protection Regulation), as required, and not process any personal data (defined as any information that can, whether directly or indirectly, identify, relate to, describe, be associated with, or be reasonably capable of being associated with a particular person, including but not limited to definitions of “personally identifiable information,” “personal data,” “personal information” under all applicable data protection laws) other than as instructed by the owner or licensor of such personal data unless processing required by applicable law to which the contracted processor is subject. Each will ensure that any contracted processors comply with all applicable data privacy and security laws, and not process any personal data other than instructed by the owner or licensor of such personal data.</w:t>
      </w:r>
    </w:p>
    <w:p>
      <w:pPr>
        <w:spacing w:after="0" w:line="156" w:lineRule="exact"/>
        <w:rPr>
          <w:rFonts w:ascii="Arial" w:cs="Arial" w:eastAsia="Arial" w:hAnsi="Arial"/>
          <w:sz w:val="19"/>
          <w:szCs w:val="19"/>
          <w:color w:val="auto"/>
        </w:rPr>
      </w:pPr>
    </w:p>
    <w:p>
      <w:pPr>
        <w:jc w:val="both"/>
        <w:ind w:left="660" w:right="20" w:hanging="652"/>
        <w:spacing w:after="0" w:line="253" w:lineRule="auto"/>
        <w:tabs>
          <w:tab w:leader="none" w:pos="64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Each will safeguard all data (including personal data), including implementing appropriate technical, physical and organizational security measures, systems and technologies, in compliance with and as required under applicable data protection laws.</w:t>
      </w:r>
    </w:p>
    <w:p>
      <w:pPr>
        <w:spacing w:after="0" w:line="179"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20"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8"/>
          <w:szCs w:val="18"/>
          <w:b w:val="1"/>
          <w:bCs w:val="1"/>
          <w:color w:val="auto"/>
        </w:rPr>
        <w:t>Effectiveness of Notices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Any notice or other communication in respect of this Agreement shall be in writing and may be given in any manner described below to the address or number provided for the recipient in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(which notice information may be changed by a party by notice to the other party) and shall be deemed effective as indicated:</w:t>
      </w:r>
    </w:p>
    <w:p>
      <w:pPr>
        <w:spacing w:after="0" w:line="185"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delivered in person or by courier, on the date it is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18</w:t>
      </w:r>
    </w:p>
    <w:p>
      <w:pPr>
        <w:sectPr>
          <w:pgSz w:w="11900" w:h="16838" w:orient="portrait"/>
          <w:cols w:equalWidth="0" w:num="1">
            <w:col w:w="11240"/>
          </w:cols>
          <w:pgMar w:left="320" w:top="1428" w:right="339" w:bottom="1440" w:gutter="0" w:footer="0" w:header="0"/>
        </w:sectPr>
      </w:pPr>
    </w:p>
    <w:bookmarkStart w:id="162" w:name="page163"/>
    <w:bookmarkEnd w:id="162"/>
    <w:p>
      <w:pPr>
        <w:ind w:left="660" w:hanging="652"/>
        <w:spacing w:after="0"/>
        <w:tabs>
          <w:tab w:leader="none" w:pos="6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if sent by certified or registered mail or the equivalent (return receipt requested), on the date it is received; or</w:t>
      </w:r>
    </w:p>
    <w:p>
      <w:pPr>
        <w:spacing w:after="0" w:line="219" w:lineRule="exact"/>
        <w:rPr>
          <w:rFonts w:ascii="Arial" w:cs="Arial" w:eastAsia="Arial" w:hAnsi="Arial"/>
          <w:sz w:val="22"/>
          <w:szCs w:val="22"/>
          <w:color w:val="auto"/>
        </w:rPr>
      </w:pPr>
    </w:p>
    <w:p>
      <w:pPr>
        <w:jc w:val="both"/>
        <w:ind w:left="660" w:hanging="652"/>
        <w:spacing w:after="0" w:line="253" w:lineRule="auto"/>
        <w:tabs>
          <w:tab w:leader="none" w:pos="64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if sent by email, on the date sent in the absence of any immediate automated response indicating the message was not received or would not be timely read, and if such an immediate automated response is received by the sender, on the date the sender receives an acknowledgement from the recipient,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the date of receipt is not a Business Day or the communication is received after the close of business on a Business Day, in which case such communication shall be deemed given and effective on the first following day that is a Business Day. Notices to the Counterparty shall be copied to the Nominated Lawyers, but notice to the Nominated Lawyers shall not constitute notice to the Counterparty.</w:t>
      </w:r>
    </w:p>
    <w:p>
      <w:pPr>
        <w:spacing w:after="0" w:line="182"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No amendment, modification or waiver in respect of this Agreement shall be effective unless in writing and executed by the Counterparty and the Capital Provider.</w:t>
      </w:r>
    </w:p>
    <w:p>
      <w:pPr>
        <w:spacing w:after="0" w:line="169"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This Agreement constitutes the entire agreement between the parties relating to the subject matter hereof and is the final and complete expression of their intent. The parties represent and warrant that no prior or contemporaneous negotiations, promises, agreements, covenants or representations of any kind or nature, whether made orally or in writing, have been made or relied upon by them, whether in negotiations leading to this Agreement or relating to the subject matter hereof, which are not expressly contained herein, or which have not become merged and finally integrated herein; it being the intention of the parties that in the event of any subsequent litigation, controversy or dispute concerning the terms and provisions of this Agreement, no party shall be permitted to offer or introduce oral or extrinsic evidence concerning the terms and conditions hereof that are not included or referred to herein and not reflected in writing.</w:t>
      </w:r>
    </w:p>
    <w:p>
      <w:pPr>
        <w:spacing w:after="0" w:line="150"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and the other Transaction Documents (and each amendment, modification and waiver in respect thereof) may be executed and delivered in counterparts (including by facsimile or digital transmission), each of which shall be deemed an original.</w:t>
      </w:r>
    </w:p>
    <w:p>
      <w:pPr>
        <w:spacing w:after="0" w:line="179"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Survival of Obligations</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rights and obligations of the parties under Sections 3 and 5 through 25 shall survive the exercise of the Assignment or the collection of all Proceeds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w:t>
      </w:r>
    </w:p>
    <w:p>
      <w:pPr>
        <w:sectPr>
          <w:pgSz w:w="11900" w:h="16838" w:orient="portrait"/>
          <w:cols w:equalWidth="0" w:num="1">
            <w:col w:w="11240"/>
          </w:cols>
          <w:pgMar w:left="320" w:top="1428" w:right="339" w:bottom="1440" w:gutter="0" w:footer="0" w:header="0"/>
        </w:sectPr>
      </w:pPr>
    </w:p>
    <w:bookmarkStart w:id="163" w:name="page164"/>
    <w:bookmarkEnd w:id="163"/>
    <w:p>
      <w:pPr>
        <w:ind w:left="660" w:hanging="652"/>
        <w:spacing w:after="0"/>
        <w:tabs>
          <w:tab w:leader="none" w:pos="6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No Waiver</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failure or delay in exercising any right, power or privilege in respect of this Agreement or any other Transaction Document shall not be presumed to operate as a waiver, and a single or partial exercise of any right, power or privilege shall not be presumed to preclude any subsequent or further exercise, of that right, power or privilege or the exercise of any other right, power or privilege.</w:t>
      </w:r>
    </w:p>
    <w:p>
      <w:pPr>
        <w:spacing w:after="0" w:line="182"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If any term of this Agreement or any other Transaction Document, or the application thereof to either party or any circumstance, is held to be unenforceable, invalid or illegal (in whole or in part) for any reason (in any relevant jurisdiction), the remaining terms, modified by the deletion of the unenforceable, invalid or illegal portion, shall continue in full force and effect, and such unenforceability, invalidity, or illegality shall not otherwise affect that of the remaining terms, so long as this Agreement and the other Transaction Documents as so modified continues to express, without material change, the original intentions of the parties as to the subject matter hereof and the deletion of such portion of this Agreement or any other Transaction Document shall not substantially impair the respective expectations or reciprocal obligations of the parties or the practical realization of the benefits that would otherwise be conferred upon the parties. The parties shall endeavour in good faith negotiations to replace any prohibited or unenforceable provision with a valid provision the economic effect of which comes as close as possible to that of the prohibited or unenforceable provision.</w:t>
      </w:r>
    </w:p>
    <w:p>
      <w:pPr>
        <w:spacing w:after="0" w:line="153"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Expenses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as otherwise expressly provided in this Agreement or any other Transaction Document, each party shall bear its own expenses in connection with the negotiation, execution and delivery of this Agreement and the other Transaction Documents. From and after the Closing Date, all actions taken by the Counterparty at the direction or instruction of the Capital Provider pursuant to this Agreement shall be at the sole expense of the Capital Provider.</w:t>
      </w:r>
    </w:p>
    <w:p>
      <w:pPr>
        <w:spacing w:after="0" w:line="182"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color w:val="auto"/>
        </w:rPr>
        <w:t>Relationship of Parties</w:t>
      </w:r>
    </w:p>
    <w:p>
      <w:pPr>
        <w:spacing w:after="0" w:line="226" w:lineRule="exact"/>
        <w:rPr>
          <w:sz w:val="20"/>
          <w:szCs w:val="20"/>
          <w:color w:val="auto"/>
        </w:rPr>
      </w:pPr>
    </w:p>
    <w:p>
      <w:pPr>
        <w:jc w:val="both"/>
        <w:ind w:left="660" w:hanging="652"/>
        <w:spacing w:after="0" w:line="250" w:lineRule="auto"/>
        <w:tabs>
          <w:tab w:leader="none" w:pos="64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Capital Provider and certain of its Affiliates are engaged in a capital provision and advisory business [***]. The Capital Provider and its Affiliates are not law firms and are not engaged in the practice of law with respect to any Claim or the Counterparty. The Counterparty may not, and shall not, rely on the Capital Provider or any of its Affiliates for legal advice.</w:t>
      </w:r>
    </w:p>
    <w:p>
      <w:pPr>
        <w:spacing w:after="0" w:line="187"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Nothing in this Agreement or any other Transaction Document shall give rise to or be construed to create a fiduciary, lawyer-client, lender-borrower, agency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20</w:t>
      </w:r>
    </w:p>
    <w:p>
      <w:pPr>
        <w:sectPr>
          <w:pgSz w:w="11900" w:h="16838" w:orient="portrait"/>
          <w:cols w:equalWidth="0" w:num="1">
            <w:col w:w="11240"/>
          </w:cols>
          <w:pgMar w:left="320" w:top="1422" w:right="339" w:bottom="1440" w:gutter="0" w:footer="0" w:header="0"/>
        </w:sectPr>
      </w:pPr>
    </w:p>
    <w:bookmarkStart w:id="164" w:name="page165"/>
    <w:bookmarkEnd w:id="164"/>
    <w:p>
      <w:pPr>
        <w:ind w:left="660"/>
        <w:spacing w:after="0"/>
        <w:rPr>
          <w:sz w:val="20"/>
          <w:szCs w:val="20"/>
          <w:color w:val="auto"/>
        </w:rPr>
      </w:pPr>
      <w:r>
        <w:rPr>
          <w:rFonts w:ascii="Arial" w:cs="Arial" w:eastAsia="Arial" w:hAnsi="Arial"/>
          <w:sz w:val="22"/>
          <w:szCs w:val="22"/>
          <w:color w:val="auto"/>
        </w:rPr>
        <w:t>other non-contractual relationship between the Counterparty and the Capital Provider.</w:t>
      </w:r>
    </w:p>
    <w:p>
      <w:pPr>
        <w:spacing w:after="0" w:line="220" w:lineRule="exact"/>
        <w:rPr>
          <w:sz w:val="20"/>
          <w:szCs w:val="20"/>
          <w:color w:val="auto"/>
        </w:rPr>
      </w:pPr>
    </w:p>
    <w:p>
      <w:pPr>
        <w:jc w:val="both"/>
        <w:ind w:left="660" w:hanging="652"/>
        <w:spacing w:after="0" w:line="253" w:lineRule="auto"/>
        <w:tabs>
          <w:tab w:leader="none" w:pos="64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This Agreement does not create any partnership, joint venture or any other type of affiliation between the Counterparty and the Capital Provider, nor does this Agreement create a joint interest in any Claim for any purpose, including for U.S. federal, state and local income tax purposes.</w:t>
      </w:r>
    </w:p>
    <w:p>
      <w:pPr>
        <w:spacing w:after="0" w:line="179"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Except as set forth otherwise in Section 24, this Agreement shall be construed in accordance with, and this Agreement and all matters arising out of or relating in any way whatsoever to this Agreement (whether in contract, tort or otherwise) shall be governed by, the law of the State of New York (without reference to any conflict of law principles or choice of law doctrine that would have the effect of causing this Agreement to be construed in accordance with or governed by the law of any other jurisdiction).</w:t>
      </w:r>
    </w:p>
    <w:p>
      <w:pPr>
        <w:spacing w:after="0" w:line="186"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Dispute Resolution</w:t>
      </w:r>
    </w:p>
    <w:p>
      <w:pPr>
        <w:spacing w:after="0" w:line="226" w:lineRule="exact"/>
        <w:rPr>
          <w:sz w:val="20"/>
          <w:szCs w:val="20"/>
          <w:color w:val="auto"/>
        </w:rPr>
      </w:pPr>
    </w:p>
    <w:p>
      <w:pPr>
        <w:jc w:val="both"/>
        <w:ind w:left="660" w:hanging="652"/>
        <w:spacing w:after="0" w:line="259" w:lineRule="auto"/>
        <w:tabs>
          <w:tab w:leader="none" w:pos="648"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Any and all of the following shall (to the exclusion of any other forum except as set forth herein) be referred to and finally resolved by arbitration under the [***] (the “</w:t>
      </w:r>
      <w:r>
        <w:rPr>
          <w:rFonts w:ascii="Arial" w:cs="Arial" w:eastAsia="Arial" w:hAnsi="Arial"/>
          <w:sz w:val="21"/>
          <w:szCs w:val="21"/>
          <w:b w:val="1"/>
          <w:bCs w:val="1"/>
          <w:i w:val="1"/>
          <w:iCs w:val="1"/>
          <w:color w:val="auto"/>
        </w:rPr>
        <w:t>Rules</w:t>
      </w:r>
      <w:r>
        <w:rPr>
          <w:rFonts w:ascii="Arial" w:cs="Arial" w:eastAsia="Arial" w:hAnsi="Arial"/>
          <w:sz w:val="21"/>
          <w:szCs w:val="21"/>
          <w:color w:val="auto"/>
        </w:rPr>
        <w:t>” [***]), which Rules are deemed to be incorporated by reference into this clause: any dispute, controversy or claim arising out of or in connection with (i) this Agreement (including this Section 24); (ii) any other Transaction Document; or (iii) any relationship or interaction between the Counterparty, on the one hand, and any Capital Provider, on the other hand, including, as to all such disputes, claims and controversies, any question regarding (x) the existence, arbitrability, validity or termination of this Agreement (including this Section 24) or any other Transaction Document, (y) any relationship or interaction between the above identified parties, or (z) the obligation of any Person to arbitrate any such dispute.</w:t>
      </w:r>
    </w:p>
    <w:p>
      <w:pPr>
        <w:spacing w:after="0" w:line="183" w:lineRule="exact"/>
        <w:rPr>
          <w:rFonts w:ascii="Arial" w:cs="Arial" w:eastAsia="Arial" w:hAnsi="Arial"/>
          <w:sz w:val="21"/>
          <w:szCs w:val="21"/>
          <w:color w:val="auto"/>
        </w:rPr>
      </w:pPr>
    </w:p>
    <w:p>
      <w:pPr>
        <w:jc w:val="both"/>
        <w:ind w:left="660" w:hanging="652"/>
        <w:spacing w:after="0" w:line="285" w:lineRule="auto"/>
        <w:tabs>
          <w:tab w:leader="none" w:pos="66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Except as otherwise specifically provided in this Agreement (including this Section 24) or any other Transaction Document, (i) the arbitral tribunal (the “</w:t>
      </w:r>
      <w:r>
        <w:rPr>
          <w:rFonts w:ascii="Arial" w:cs="Arial" w:eastAsia="Arial" w:hAnsi="Arial"/>
          <w:sz w:val="19"/>
          <w:szCs w:val="19"/>
          <w:b w:val="1"/>
          <w:bCs w:val="1"/>
          <w:i w:val="1"/>
          <w:iCs w:val="1"/>
          <w:color w:val="auto"/>
        </w:rPr>
        <w:t>Tribunal</w:t>
      </w:r>
      <w:r>
        <w:rPr>
          <w:rFonts w:ascii="Arial" w:cs="Arial" w:eastAsia="Arial" w:hAnsi="Arial"/>
          <w:sz w:val="19"/>
          <w:szCs w:val="19"/>
          <w:color w:val="auto"/>
        </w:rPr>
        <w:t>”) shall have the exclusive power to grant any remedy or relief that it deems appropriate, whether provisional or final, including but not limited to emergency relief, injunctive relief and/or any other interim or conservatory measures or other relief permitted by the Rules (collectively, “</w:t>
      </w:r>
      <w:r>
        <w:rPr>
          <w:rFonts w:ascii="Arial" w:cs="Arial" w:eastAsia="Arial" w:hAnsi="Arial"/>
          <w:sz w:val="19"/>
          <w:szCs w:val="19"/>
          <w:b w:val="1"/>
          <w:bCs w:val="1"/>
          <w:i w:val="1"/>
          <w:iCs w:val="1"/>
          <w:color w:val="auto"/>
        </w:rPr>
        <w:t>Conservatory Measures</w:t>
      </w:r>
      <w:r>
        <w:rPr>
          <w:rFonts w:ascii="Arial" w:cs="Arial" w:eastAsia="Arial" w:hAnsi="Arial"/>
          <w:sz w:val="19"/>
          <w:szCs w:val="19"/>
          <w:color w:val="auto"/>
        </w:rPr>
        <w:t>”), and any such measures ordered by the Tribunal shall, to the extent permitted by applicable law, be deemed to be a final award on the subject matter of such measures and shall be enforceable as such in any court of appropriate jurisdiction; and</w:t>
      </w:r>
    </w:p>
    <w:p>
      <w:pPr>
        <w:jc w:val="both"/>
        <w:ind w:left="660" w:hanging="4"/>
        <w:spacing w:after="0" w:line="245" w:lineRule="auto"/>
        <w:tabs>
          <w:tab w:leader="none" w:pos="987" w:val="left"/>
        </w:tabs>
        <w:numPr>
          <w:ilvl w:val="1"/>
          <w:numId w:val="135"/>
        </w:numPr>
        <w:rPr>
          <w:rFonts w:ascii="Arial" w:cs="Arial" w:eastAsia="Arial" w:hAnsi="Arial"/>
          <w:sz w:val="22"/>
          <w:szCs w:val="22"/>
          <w:color w:val="auto"/>
        </w:rPr>
      </w:pPr>
      <w:r>
        <w:rPr>
          <w:rFonts w:ascii="Arial" w:cs="Arial" w:eastAsia="Arial" w:hAnsi="Arial"/>
          <w:sz w:val="22"/>
          <w:szCs w:val="22"/>
          <w:color w:val="auto"/>
        </w:rPr>
        <w:t>prior to the formation or expedited formation of the Tribunal ([***]), the provisions of [***] the Rules shall apply to any request for Conservatory Measures. Notwithstanding any other provisions of this Section 24 [***], each party retains the right, at any time before or after the formation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21</w:t>
      </w:r>
    </w:p>
    <w:p>
      <w:pPr>
        <w:sectPr>
          <w:pgSz w:w="11900" w:h="16838" w:orient="portrait"/>
          <w:cols w:equalWidth="0" w:num="1">
            <w:col w:w="11240"/>
          </w:cols>
          <w:pgMar w:left="320" w:top="1428" w:right="339" w:bottom="1440" w:gutter="0" w:footer="0" w:header="0"/>
        </w:sectPr>
      </w:pPr>
    </w:p>
    <w:bookmarkStart w:id="165" w:name="page166"/>
    <w:bookmarkEnd w:id="165"/>
    <w:p>
      <w:pPr>
        <w:jc w:val="both"/>
        <w:ind w:left="660"/>
        <w:spacing w:after="0" w:line="250" w:lineRule="auto"/>
        <w:rPr>
          <w:sz w:val="20"/>
          <w:szCs w:val="20"/>
          <w:color w:val="auto"/>
        </w:rPr>
      </w:pPr>
      <w:r>
        <w:rPr>
          <w:rFonts w:ascii="Arial" w:cs="Arial" w:eastAsia="Arial" w:hAnsi="Arial"/>
          <w:sz w:val="22"/>
          <w:szCs w:val="22"/>
          <w:color w:val="auto"/>
        </w:rPr>
        <w:t>Tribunal, to apply to any court of competent jurisdiction for Conservatory Measures necessary to enforce a party’s rights under Section 6 of this Agreement, including, but not limited to, judicial and non-judicial foreclosure, attachments or injunctions, and any such request shall not be deemed incompatible with this agreement to arbitrate or a waiver of the right to arbitrate.</w:t>
      </w:r>
    </w:p>
    <w:p>
      <w:pPr>
        <w:spacing w:after="0" w:line="188" w:lineRule="exact"/>
        <w:rPr>
          <w:sz w:val="20"/>
          <w:szCs w:val="20"/>
          <w:color w:val="auto"/>
        </w:rPr>
      </w:pPr>
    </w:p>
    <w:p>
      <w:pPr>
        <w:jc w:val="both"/>
        <w:ind w:left="660" w:hanging="652"/>
        <w:spacing w:after="0" w:line="259" w:lineRule="auto"/>
        <w:tabs>
          <w:tab w:leader="none" w:pos="648"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referral of a dispute to arbitration shall not suspend or interfere with the Counterparty’s obligation to make timely payment to the Capital Provider of the Capital Provider’s Entitlement (or any portion thereof); provided that if the Counterparty disputes its obligation hereunder to pay any amount to the Capital Provider, the Counterparty must (i) commence an arbitral proceeding pursuant to this Section 24 within five (5) Business Days after the date such amount was (but for the dispute) due, (ii) make timely payment to the Capital Provider of any undisputed amounts and (iii), to the extent any disputed funds are not in the Control Account, within two (2) Business Days after the date such amount was (but for the dispute) due, deposit any and all disputed amounts in a dedicated account with [***] as fund holder, which amounts shall be released, including any interest thereon, as directed in writing by the Tribunal in any award, order or decision, unless the parties expressly agree otherwise in writing.</w:t>
      </w:r>
    </w:p>
    <w:p>
      <w:pPr>
        <w:spacing w:after="0" w:line="179"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Any request for arbitration or response thereto submitted to [***] may be delivered by any means (including email) set forth in Section 14 (Notices) or any other means that is reasonably likely to achieve actual service.</w:t>
      </w:r>
    </w:p>
    <w:p>
      <w:pPr>
        <w:spacing w:after="0" w:line="174" w:lineRule="exact"/>
        <w:rPr>
          <w:rFonts w:ascii="Arial" w:cs="Arial" w:eastAsia="Arial" w:hAnsi="Arial"/>
          <w:sz w:val="22"/>
          <w:szCs w:val="22"/>
          <w:color w:val="auto"/>
        </w:rPr>
      </w:pPr>
    </w:p>
    <w:p>
      <w:pPr>
        <w:jc w:val="both"/>
        <w:ind w:left="660" w:hanging="652"/>
        <w:spacing w:after="0" w:line="248" w:lineRule="auto"/>
        <w:tabs>
          <w:tab w:leader="none" w:pos="64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number of arbitrators shall be three. Subject to [***] the Rules, each party to the arbitration shall nominate one arbitrator and the two arbitrators nominated by the parties shall, within ten (10) days of the nomination of the second party-nominated arbitrator, agree upon and nominate a third arbitrator who shall act as Chairman of the Tribunal. If no agreement is reached within ten days or at all, [***] shall select and appoint a third arbitrator to act as Chairman of the Tribunal.</w:t>
      </w:r>
    </w:p>
    <w:p>
      <w:pPr>
        <w:spacing w:after="0" w:line="191" w:lineRule="exact"/>
        <w:rPr>
          <w:rFonts w:ascii="Arial" w:cs="Arial" w:eastAsia="Arial" w:hAnsi="Arial"/>
          <w:sz w:val="22"/>
          <w:szCs w:val="22"/>
          <w:color w:val="auto"/>
        </w:rPr>
      </w:pPr>
    </w:p>
    <w:p>
      <w:pPr>
        <w:jc w:val="both"/>
        <w:ind w:left="660" w:hanging="652"/>
        <w:spacing w:after="0" w:line="312" w:lineRule="auto"/>
        <w:tabs>
          <w:tab w:leader="none" w:pos="65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seat, or legal place, of arbitration shall be New York, New York. Notwithstanding the terms of Section 23 (Governing Law), the U.S. Federal Arbitration Act shall govern the interpretation, application and enforcement of this Section 24 and any arbitration proceedings conducted hereunder. The language to be used in the arbitral proceedings shall be English.</w:t>
      </w:r>
    </w:p>
    <w:p>
      <w:pPr>
        <w:spacing w:after="0" w:line="133" w:lineRule="exact"/>
        <w:rPr>
          <w:rFonts w:ascii="Arial" w:cs="Arial" w:eastAsia="Arial" w:hAnsi="Arial"/>
          <w:sz w:val="19"/>
          <w:szCs w:val="19"/>
          <w:color w:val="auto"/>
        </w:rPr>
      </w:pPr>
    </w:p>
    <w:p>
      <w:pPr>
        <w:jc w:val="both"/>
        <w:ind w:left="660" w:hanging="652"/>
        <w:spacing w:after="0" w:line="263" w:lineRule="auto"/>
        <w:tabs>
          <w:tab w:leader="none" w:pos="66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In addition to the confidentiality requirements imposed on the parties by [***] the Rules, each party is obligated to keep confidential the existence and content of any arbitral proceedings initiated hereunder and any rulings or award except (i) to the extent that disclosure may be required of a party to fulfill a legal duty, protect or pursue a legal right, or enforce or challenge an award in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legal proceedings before a state court or other judicial authority, (ii) with the consent of all parties, (iii) where needed for the preparation or presentation of a claim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22</w:t>
      </w:r>
    </w:p>
    <w:p>
      <w:pPr>
        <w:sectPr>
          <w:pgSz w:w="11900" w:h="16838" w:orient="portrait"/>
          <w:cols w:equalWidth="0" w:num="1">
            <w:col w:w="11240"/>
          </w:cols>
          <w:pgMar w:left="320" w:top="1428" w:right="339" w:bottom="1440" w:gutter="0" w:footer="0" w:header="0"/>
        </w:sectPr>
      </w:pPr>
    </w:p>
    <w:bookmarkStart w:id="166" w:name="page167"/>
    <w:bookmarkEnd w:id="166"/>
    <w:p>
      <w:pPr>
        <w:jc w:val="both"/>
        <w:ind w:left="660"/>
        <w:spacing w:after="0" w:line="253" w:lineRule="auto"/>
        <w:rPr>
          <w:sz w:val="20"/>
          <w:szCs w:val="20"/>
          <w:color w:val="auto"/>
        </w:rPr>
      </w:pPr>
      <w:r>
        <w:rPr>
          <w:rFonts w:ascii="Arial" w:cs="Arial" w:eastAsia="Arial" w:hAnsi="Arial"/>
          <w:sz w:val="22"/>
          <w:szCs w:val="22"/>
          <w:color w:val="auto"/>
        </w:rPr>
        <w:t>defense in such arbitral proceedings, (iv) where such information is already in the public domain other than as a result of a breach of this clause (g), (v) by order of the Tribunal upon application of a party, or (vi) to the extent such disclosure is required by law.</w:t>
      </w:r>
    </w:p>
    <w:p>
      <w:pPr>
        <w:spacing w:after="0" w:line="185" w:lineRule="exact"/>
        <w:rPr>
          <w:sz w:val="20"/>
          <w:szCs w:val="20"/>
          <w:color w:val="auto"/>
        </w:rPr>
      </w:pPr>
    </w:p>
    <w:p>
      <w:pPr>
        <w:jc w:val="both"/>
        <w:ind w:left="660" w:hanging="652"/>
        <w:spacing w:after="0" w:line="302" w:lineRule="auto"/>
        <w:tabs>
          <w:tab w:leader="none" w:pos="722"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 addition to the authority conferred upon the Tribunal by the Rules, the Tribunal shall have the authority to order production of documents in accordance with [***] as current on the date of the commencement of the arbitration. No other form of disclosure or discovery shall be permitted. All contentions that a document or communication is privileged and, as such, exempt from production in the arbitration, shall be resolved by the Tribunal in accordance with [***].</w:t>
      </w:r>
    </w:p>
    <w:p>
      <w:pPr>
        <w:spacing w:after="0" w:line="142" w:lineRule="exact"/>
        <w:rPr>
          <w:rFonts w:ascii="Arial" w:cs="Arial" w:eastAsia="Arial" w:hAnsi="Arial"/>
          <w:sz w:val="19"/>
          <w:szCs w:val="19"/>
          <w:color w:val="auto"/>
        </w:rPr>
      </w:pPr>
    </w:p>
    <w:p>
      <w:pPr>
        <w:ind w:left="660" w:hanging="652"/>
        <w:spacing w:after="0" w:line="263" w:lineRule="auto"/>
        <w:tabs>
          <w:tab w:leader="none" w:pos="65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judgment of any court of appropriate jurisdiction shall be entered upon any award made pursuant to an arbitration conducted pursuant to the terms of this Section 24.</w:t>
      </w:r>
    </w:p>
    <w:p>
      <w:pPr>
        <w:spacing w:after="0" w:line="174" w:lineRule="exact"/>
        <w:rPr>
          <w:rFonts w:ascii="Arial" w:cs="Arial" w:eastAsia="Arial" w:hAnsi="Arial"/>
          <w:sz w:val="22"/>
          <w:szCs w:val="22"/>
          <w:color w:val="auto"/>
        </w:rPr>
      </w:pPr>
    </w:p>
    <w:p>
      <w:pPr>
        <w:jc w:val="both"/>
        <w:ind w:left="660" w:hanging="652"/>
        <w:spacing w:after="0" w:line="250" w:lineRule="auto"/>
        <w:tabs>
          <w:tab w:leader="none" w:pos="65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attempt by the Counterparty or the Capital Provider, or any other Person subject to this Section 24 to seek relief or remedies in any forum that contravenes this Section 24 shall constitute a breach of this Agreement and entitle the non-breaching party to damages, equitable relief and full indemnification against all costs and expenses incurred in connection therewith.</w:t>
      </w:r>
    </w:p>
    <w:p>
      <w:pPr>
        <w:spacing w:after="0" w:line="187" w:lineRule="exact"/>
        <w:rPr>
          <w:rFonts w:ascii="Arial" w:cs="Arial" w:eastAsia="Arial" w:hAnsi="Arial"/>
          <w:sz w:val="22"/>
          <w:szCs w:val="22"/>
          <w:color w:val="auto"/>
        </w:rPr>
      </w:pPr>
    </w:p>
    <w:p>
      <w:pPr>
        <w:jc w:val="both"/>
        <w:ind w:left="660" w:hanging="652"/>
        <w:spacing w:after="0" w:line="284" w:lineRule="auto"/>
        <w:tabs>
          <w:tab w:leader="none" w:pos="6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Counterparty, being a sophisticated commercial entity with access to counsel, irrevocably waives and forever and unconditionally releases, discharges and quitclaims any claims, counterclaims, defenses, causes of action, remedies and/or rights that it has or may have in the future arising from any doctrine, rule or principle of law or equity that this Agreement or any other Transaction Document, or any of the relationships and transactions contemplated hereby or thereby, (i) are against the public policy of any relevant jurisdiction; (ii) are unconscionable or contravene any laws relating to consumer protection; (iii) are usurious or call for payment of interest at a usurious rate; (iv) were entered into under duress; (v) were entered into as a result of actions by the Capital Provider that violated its obligations of good faith and/or fair dealing;</w:t>
      </w:r>
    </w:p>
    <w:p>
      <w:pPr>
        <w:spacing w:after="0" w:line="3" w:lineRule="exact"/>
        <w:rPr>
          <w:rFonts w:ascii="Arial" w:cs="Arial" w:eastAsia="Arial" w:hAnsi="Arial"/>
          <w:sz w:val="19"/>
          <w:szCs w:val="19"/>
          <w:color w:val="auto"/>
        </w:rPr>
      </w:pPr>
    </w:p>
    <w:p>
      <w:pPr>
        <w:jc w:val="both"/>
        <w:ind w:left="660" w:hanging="4"/>
        <w:spacing w:after="0" w:line="295" w:lineRule="auto"/>
        <w:tabs>
          <w:tab w:leader="none" w:pos="1064" w:val="left"/>
        </w:tabs>
        <w:numPr>
          <w:ilvl w:val="1"/>
          <w:numId w:val="137"/>
        </w:numPr>
        <w:rPr>
          <w:rFonts w:ascii="Arial" w:cs="Arial" w:eastAsia="Arial" w:hAnsi="Arial"/>
          <w:sz w:val="19"/>
          <w:szCs w:val="19"/>
          <w:color w:val="auto"/>
        </w:rPr>
      </w:pPr>
      <w:r>
        <w:rPr>
          <w:rFonts w:ascii="Arial" w:cs="Arial" w:eastAsia="Arial" w:hAnsi="Arial"/>
          <w:sz w:val="19"/>
          <w:szCs w:val="19"/>
          <w:color w:val="auto"/>
        </w:rPr>
        <w:t>constitute illegal gambling or the sale of unregistered securities; (vii) constitute malicious prosecution, abuse of process or wrongful initiation of litigation; or (viii) constitute champerty, maintenance, barratry or any impermissible transfer, assignment or division of property or choses in action. The parties specifically agree that any issues concerning the scope or validity of the foregoing waiver shall be within the exclusive jurisdiction of the Tribunal.</w:t>
      </w:r>
    </w:p>
    <w:p>
      <w:pPr>
        <w:spacing w:after="0" w:line="144"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Rules of Construction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Unless the context otherwise clearly requires: (a) the definitions of terms herein shall apply equally to the singular and plural forms of the terms defined; (b) whenever the context may require, any pronoun shall include the corresponding masculine, feminine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23</w:t>
      </w:r>
    </w:p>
    <w:p>
      <w:pPr>
        <w:sectPr>
          <w:pgSz w:w="11900" w:h="16838" w:orient="portrait"/>
          <w:cols w:equalWidth="0" w:num="1">
            <w:col w:w="11240"/>
          </w:cols>
          <w:pgMar w:left="320" w:top="1428" w:right="339" w:bottom="1440" w:gutter="0" w:footer="0" w:header="0"/>
        </w:sectPr>
      </w:pPr>
    </w:p>
    <w:bookmarkStart w:id="167" w:name="page168"/>
    <w:bookmarkEnd w:id="167"/>
    <w:p>
      <w:pPr>
        <w:jc w:val="both"/>
        <w:spacing w:after="0" w:line="257" w:lineRule="auto"/>
        <w:rPr>
          <w:sz w:val="20"/>
          <w:szCs w:val="20"/>
          <w:color w:val="auto"/>
        </w:rPr>
      </w:pPr>
      <w:r>
        <w:rPr>
          <w:rFonts w:ascii="Arial" w:cs="Arial" w:eastAsia="Arial" w:hAnsi="Arial"/>
          <w:sz w:val="21"/>
          <w:szCs w:val="21"/>
          <w:color w:val="auto"/>
        </w:rPr>
        <w:t>and neuter forms; (c) the words “include”, “includes” and “including” shall be deemed to be followed by the phrase “without limitation”; (d) the word “shall” shall be construed to have the same meaning and effect as the word “will”; (e) any definition of or reference to any agreement, instrument or other document herein shall be construed as referring to such agreement, instrument or other document as from time to time amended, supplemented, restated or otherwise modified (subject to any restrictions on such amendments, supplements or modifications set forth herein); (f) any reference herein to any Person shall be construed to include such Person’s successors and assigns; (g) the phrase “to its knowledge” and phrases of similar import shall be construed to mean the actual knowledge, after reasonable inquiry, of the Chief Executive Officer, Chief Financial Officer and General Counsel of the Counterparty; (h) the words “herein”, “hereof” and “hereunder”, and words of similar import, shall be construed to refer to this Agreement in its entirety and not to any particular provision hereof; (i) all references herein to Sections, Annexes, Exhibits and Schedules, as applicable, shall be construed to refer to Sections of, and Annexes, Exhibits and Schedules to, this Agreement, and the same are incorporated herein as part of this Agreement; and (j) the headings used in this Agreement are for convenience of reference only and are not to affect the construction of or to be taken into consideration in interpreting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24</w:t>
      </w:r>
    </w:p>
    <w:p>
      <w:pPr>
        <w:sectPr>
          <w:pgSz w:w="11900" w:h="16838" w:orient="portrait"/>
          <w:cols w:equalWidth="0" w:num="1">
            <w:col w:w="11240"/>
          </w:cols>
          <w:pgMar w:left="320" w:top="1428"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u w:val="single" w:color="auto"/>
          <w:color w:val="auto"/>
        </w:rPr>
        <w:t>Signature page to Capital Provision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parties have executed and delivered this Capital Provision Agreement as of the date first written above.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Counterparty</w:t>
      </w:r>
      <w:r>
        <w:rPr>
          <w:rFonts w:ascii="Arial" w:cs="Arial" w:eastAsia="Arial" w:hAnsi="Arial"/>
          <w:sz w:val="22"/>
          <w:szCs w:val="22"/>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PDL BIOPHARMA,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Title: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Provider</w:t>
      </w:r>
      <w:r>
        <w:rPr>
          <w:rFonts w:ascii="Arial" w:cs="Arial" w:eastAsia="Arial" w:hAnsi="Arial"/>
          <w:sz w:val="22"/>
          <w:szCs w:val="22"/>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EPPS INVESTMENTS LLC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11240"/>
          </w:cols>
          <w:pgMar w:left="320" w:top="1421" w:right="339" w:bottom="1440" w:gutter="0" w:footer="0" w:header="0"/>
        </w:sectPr>
      </w:pPr>
    </w:p>
    <w:bookmarkStart w:id="169" w:name="page170"/>
    <w:bookmarkEnd w:id="169"/>
    <w:p>
      <w:pPr>
        <w:ind w:left="506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Defined Terms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Accounts</w:t>
      </w:r>
      <w:r>
        <w:rPr>
          <w:rFonts w:ascii="Arial" w:cs="Arial" w:eastAsia="Arial" w:hAnsi="Arial"/>
          <w:sz w:val="22"/>
          <w:szCs w:val="22"/>
          <w:color w:val="auto"/>
        </w:rPr>
        <w:t>” has the meaning given to such term in the NYUCC.</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Adverse Claim</w:t>
      </w:r>
      <w:r>
        <w:rPr>
          <w:rFonts w:ascii="Arial" w:cs="Arial" w:eastAsia="Arial" w:hAnsi="Arial"/>
          <w:sz w:val="19"/>
          <w:szCs w:val="19"/>
          <w:color w:val="auto"/>
        </w:rPr>
        <w:t>” means, with respect to any Claim, the Settlement Agreement or any interest therein or any Proceeds thereof,</w:t>
      </w:r>
    </w:p>
    <w:p>
      <w:pPr>
        <w:spacing w:after="0" w:line="56" w:lineRule="exact"/>
        <w:rPr>
          <w:sz w:val="20"/>
          <w:szCs w:val="20"/>
          <w:color w:val="auto"/>
        </w:rPr>
      </w:pPr>
    </w:p>
    <w:p>
      <w:pPr>
        <w:jc w:val="both"/>
        <w:ind w:firstLine="8"/>
        <w:spacing w:after="0" w:line="287" w:lineRule="auto"/>
        <w:tabs>
          <w:tab w:leader="none" w:pos="28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any mortgage, deed of trust, lien, pledge, hypothecation, encumbrance, charge or security interest in, on or affecting such Claim, the Settlement Agreement or any interest therein or any Proceeds thereof, (ii) the interest of a vendor or a lessor under any conditional sale agreement, capital lease or title retention agreement (or any financing lease having substantially the same economic effect as any of the foregoing) relating to such Claim, the Settlement Agreement or any interest therein or any Proceeds thereof, (iii) any purchase option, call or similar right of a third party with respect to such Claim, the Settlement Agreement or any interest therein or any Proceeds thereof and (iv) any other claim that a claimant has an interest in such Claim, the Settlement Agreement or any interest therein or any Proceeds thereof or that it is a violation of the rights of the claimant for another person to hold, transfer or deal with such Claim, the Settlement Agreement or any interest therein or any Proceeds thereof.</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Adverse Party</w:t>
      </w:r>
      <w:r>
        <w:rPr>
          <w:rFonts w:ascii="Arial" w:cs="Arial" w:eastAsia="Arial" w:hAnsi="Arial"/>
          <w:sz w:val="22"/>
          <w:szCs w:val="22"/>
          <w:color w:val="auto"/>
        </w:rPr>
        <w:t xml:space="preserve">” means, with respect to any Claim, individually and collectively, the Person(s) named as defendants or counterclaim defendants in such Claim, as set forth on </w:t>
      </w:r>
      <w:r>
        <w:rPr>
          <w:rFonts w:ascii="Arial" w:cs="Arial" w:eastAsia="Arial" w:hAnsi="Arial"/>
          <w:sz w:val="22"/>
          <w:szCs w:val="22"/>
          <w:u w:val="single" w:color="auto"/>
          <w:color w:val="auto"/>
        </w:rPr>
        <w:t>Annex II</w:t>
      </w:r>
      <w:r>
        <w:rPr>
          <w:rFonts w:ascii="Arial" w:cs="Arial" w:eastAsia="Arial" w:hAnsi="Arial"/>
          <w:sz w:val="22"/>
          <w:szCs w:val="22"/>
          <w:color w:val="auto"/>
        </w:rPr>
        <w:t>, and any other Person added or joined to the Claim from time to time as a defendant or indemnitor or against whom proceedings are asserted or threatened even if such Person is not named or served, and in each case their respective Affiliates and successors.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 For this purpose, “</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and “</w:t>
      </w:r>
      <w:r>
        <w:rPr>
          <w:rFonts w:ascii="Arial" w:cs="Arial" w:eastAsia="Arial" w:hAnsi="Arial"/>
          <w:sz w:val="22"/>
          <w:szCs w:val="22"/>
          <w:b w:val="1"/>
          <w:bCs w:val="1"/>
          <w:i w:val="1"/>
          <w:i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i w:val="1"/>
          <w:iCs w:val="1"/>
          <w:color w:val="auto"/>
        </w:rPr>
        <w:t>Controlled</w:t>
      </w:r>
      <w:r>
        <w:rPr>
          <w:rFonts w:ascii="Arial" w:cs="Arial" w:eastAsia="Arial" w:hAnsi="Arial"/>
          <w:sz w:val="22"/>
          <w:szCs w:val="22"/>
          <w:color w:val="auto"/>
        </w:rPr>
        <w:t>” have meanings correlative thereto.</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Anti-Corruption Rules</w:t>
      </w:r>
      <w:r>
        <w:rPr>
          <w:rFonts w:ascii="Arial" w:cs="Arial" w:eastAsia="Arial" w:hAnsi="Arial"/>
          <w:sz w:val="22"/>
          <w:szCs w:val="22"/>
          <w:color w:val="auto"/>
        </w:rPr>
        <w:t>” has the meaning set forth in Section 13.</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Assignment</w:t>
      </w:r>
      <w:r>
        <w:rPr>
          <w:rFonts w:ascii="Arial" w:cs="Arial" w:eastAsia="Arial" w:hAnsi="Arial"/>
          <w:sz w:val="22"/>
          <w:szCs w:val="22"/>
          <w:color w:val="auto"/>
        </w:rPr>
        <w:t>” means the form of assignment set forth as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B</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BioVeri</w:t>
      </w:r>
      <w:r>
        <w:rPr>
          <w:rFonts w:ascii="Arial" w:cs="Arial" w:eastAsia="Arial" w:hAnsi="Arial"/>
          <w:sz w:val="22"/>
          <w:szCs w:val="22"/>
          <w:color w:val="auto"/>
        </w:rPr>
        <w:t>s” has the meaning given such term in the Settlement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BioVeris License Agreement</w:t>
      </w:r>
      <w:r>
        <w:rPr>
          <w:rFonts w:ascii="Arial" w:cs="Arial" w:eastAsia="Arial" w:hAnsi="Arial"/>
          <w:sz w:val="22"/>
          <w:szCs w:val="22"/>
          <w:color w:val="auto"/>
        </w:rPr>
        <w:t>” has the meaning given such term in the Settlement Agreement.</w:t>
      </w:r>
    </w:p>
    <w:p>
      <w:pPr>
        <w:sectPr>
          <w:pgSz w:w="11900" w:h="16838" w:orient="portrait"/>
          <w:cols w:equalWidth="0" w:num="1">
            <w:col w:w="11240"/>
          </w:cols>
          <w:pgMar w:left="320" w:top="1422" w:right="339" w:bottom="1440" w:gutter="0" w:footer="0" w:header="0"/>
        </w:sectPr>
      </w:pPr>
    </w:p>
    <w:bookmarkStart w:id="170" w:name="page171"/>
    <w:bookmarkEnd w:id="170"/>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 day on which commercial banks and foreign exchange markets settle payments and are open for general business (including dealings in foreign exchange and foreign currency deposits) in New York.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Amount</w:t>
      </w:r>
      <w:r>
        <w:rPr>
          <w:rFonts w:ascii="Arial" w:cs="Arial" w:eastAsia="Arial" w:hAnsi="Arial"/>
          <w:sz w:val="22"/>
          <w:szCs w:val="22"/>
          <w:color w:val="auto"/>
        </w:rPr>
        <w:t>” has the meaning set forth in Section 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Provider</w:t>
      </w:r>
      <w:r>
        <w:rPr>
          <w:rFonts w:ascii="Arial" w:cs="Arial" w:eastAsia="Arial" w:hAnsi="Arial"/>
          <w:sz w:val="22"/>
          <w:szCs w:val="22"/>
          <w:color w:val="auto"/>
        </w:rPr>
        <w:t>” has the meaning set forth in the introductory paragraph of this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Provider’s Entitlement</w:t>
      </w:r>
      <w:r>
        <w:rPr>
          <w:rFonts w:ascii="Arial" w:cs="Arial" w:eastAsia="Arial" w:hAnsi="Arial"/>
          <w:sz w:val="22"/>
          <w:szCs w:val="22"/>
          <w:color w:val="auto"/>
        </w:rPr>
        <w:t>” has the meaning set forth in Section 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Provider Indemnifying Party</w:t>
      </w:r>
      <w:r>
        <w:rPr>
          <w:rFonts w:ascii="Arial" w:cs="Arial" w:eastAsia="Arial" w:hAnsi="Arial"/>
          <w:sz w:val="22"/>
          <w:szCs w:val="22"/>
          <w:color w:val="auto"/>
        </w:rPr>
        <w:t>” has the meaning set forth in Section 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 Proceeds</w:t>
      </w:r>
      <w:r>
        <w:rPr>
          <w:rFonts w:ascii="Arial" w:cs="Arial" w:eastAsia="Arial" w:hAnsi="Arial"/>
          <w:sz w:val="22"/>
          <w:szCs w:val="22"/>
          <w:color w:val="auto"/>
        </w:rPr>
        <w:t>” has the meaning given to such term in the NYUCC.</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xml:space="preserve">” means the claims described on </w:t>
      </w:r>
      <w:r>
        <w:rPr>
          <w:rFonts w:ascii="Arial" w:cs="Arial" w:eastAsia="Arial" w:hAnsi="Arial"/>
          <w:sz w:val="22"/>
          <w:szCs w:val="22"/>
          <w:u w:val="single" w:color="auto"/>
          <w:color w:val="auto"/>
        </w:rPr>
        <w:t>Annex II</w:t>
      </w:r>
      <w:r>
        <w:rPr>
          <w:rFonts w:ascii="Arial" w:cs="Arial" w:eastAsia="Arial" w:hAnsi="Arial"/>
          <w:sz w:val="22"/>
          <w:szCs w:val="22"/>
          <w:color w:val="auto"/>
        </w:rPr>
        <w:t>; each claim shall be referred to individually as “</w:t>
      </w:r>
      <w:r>
        <w:rPr>
          <w:rFonts w:ascii="Arial" w:cs="Arial" w:eastAsia="Arial" w:hAnsi="Arial"/>
          <w:sz w:val="22"/>
          <w:szCs w:val="22"/>
          <w:b w:val="1"/>
          <w:bCs w:val="1"/>
          <w:i w:val="1"/>
          <w:iCs w:val="1"/>
          <w:color w:val="auto"/>
        </w:rPr>
        <w:t>a Claim</w:t>
      </w:r>
      <w:r>
        <w:rPr>
          <w:rFonts w:ascii="Arial" w:cs="Arial" w:eastAsia="Arial" w:hAnsi="Arial"/>
          <w:sz w:val="22"/>
          <w:szCs w:val="22"/>
          <w:color w:val="auto"/>
        </w:rPr>
        <w:t>” and all such claims together shall be referred to collectively as “</w:t>
      </w:r>
      <w:r>
        <w:rPr>
          <w:rFonts w:ascii="Arial" w:cs="Arial" w:eastAsia="Arial" w:hAnsi="Arial"/>
          <w:sz w:val="22"/>
          <w:szCs w:val="22"/>
          <w:b w:val="1"/>
          <w:bCs w:val="1"/>
          <w:i w:val="1"/>
          <w:iCs w:val="1"/>
          <w:color w:val="auto"/>
        </w:rPr>
        <w:t>the Claim</w:t>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 xml:space="preserve"> subject in all instances to the resolution thereof contained in the Settlement Agreement</w:t>
      </w:r>
      <w:r>
        <w:rPr>
          <w:rFonts w:ascii="Arial" w:cs="Arial" w:eastAsia="Arial" w:hAnsi="Arial"/>
          <w:sz w:val="22"/>
          <w:szCs w:val="22"/>
          <w:i w:val="1"/>
          <w:i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means the date of the execution and delivery of this Agreement, December 11,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Collateral</w:t>
      </w:r>
      <w:r>
        <w:rPr>
          <w:rFonts w:ascii="Arial" w:cs="Arial" w:eastAsia="Arial" w:hAnsi="Arial"/>
          <w:sz w:val="22"/>
          <w:szCs w:val="22"/>
          <w:color w:val="auto"/>
        </w:rPr>
        <w:t>” has the meaning set forth in Section 6(a).</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any non-public, confidential or proprietary information relating to: (i) either party and its Affiliates and Representatives, information provided by them about their business and operations or the structures and economic arrangements they use in their business; (ii) discussions and negotiations related to the terms of the Transaction Documents; (iii) theories, strategies and tactics relating to enforcement and collection of the Claim or the Settlement Agreement, (iv) any financial statements, accounts or other similar information or materials; (v) business or financial information, business plans and relationships, marketing or product data; (vi) algorithms, computer databases, computer programs, computer software and systems, intellectual property, trade secrets and trademarks; and (vii) research, scientific data, specifications, technical data, techniques and technology; and (viii) other non-public information related to the Claim or the Settlement Agreement; in all cases regardless of whether such information is (A) written or oral, irrespective of the form or storage medium, or (B) specifically identified as “Confidential”. Notwithstanding the foregoing, Confidential Information does not include information that (x) was or becomes generally available to the public other than as a result of a disclosure by the Recipient in violation of this Agreement;</w:t>
      </w:r>
    </w:p>
    <w:p>
      <w:pPr>
        <w:spacing w:after="0" w:line="5" w:lineRule="exact"/>
        <w:rPr>
          <w:sz w:val="20"/>
          <w:szCs w:val="20"/>
          <w:color w:val="auto"/>
        </w:rPr>
      </w:pPr>
    </w:p>
    <w:p>
      <w:pPr>
        <w:ind w:right="20" w:firstLine="8"/>
        <w:spacing w:after="0" w:line="246" w:lineRule="auto"/>
        <w:tabs>
          <w:tab w:leader="none" w:pos="32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was available to the Recipient on a non-confidential basis prior to its disclosure; or (z) was developed independent of the information derived from the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Exhibit A - Page 2</w:t>
      </w:r>
    </w:p>
    <w:p>
      <w:pPr>
        <w:sectPr>
          <w:pgSz w:w="11900" w:h="16838" w:orient="portrait"/>
          <w:cols w:equalWidth="0" w:num="1">
            <w:col w:w="11240"/>
          </w:cols>
          <w:pgMar w:left="320" w:top="1428" w:right="3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Conservatory Measures</w:t>
      </w:r>
      <w:r>
        <w:rPr>
          <w:rFonts w:ascii="Arial" w:cs="Arial" w:eastAsia="Arial" w:hAnsi="Arial"/>
          <w:sz w:val="22"/>
          <w:szCs w:val="22"/>
          <w:color w:val="auto"/>
        </w:rPr>
        <w:t>” has the meaning set forth in Section 24.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Control Agreement</w:t>
      </w:r>
      <w:r>
        <w:rPr>
          <w:rFonts w:ascii="Arial" w:cs="Arial" w:eastAsia="Arial" w:hAnsi="Arial"/>
          <w:sz w:val="22"/>
          <w:szCs w:val="22"/>
          <w:color w:val="auto"/>
        </w:rPr>
        <w:t>” has the meaning set forth in Section 3.1(c).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Counterparty</w:t>
      </w:r>
      <w:r>
        <w:rPr>
          <w:rFonts w:ascii="Arial" w:cs="Arial" w:eastAsia="Arial" w:hAnsi="Arial"/>
          <w:sz w:val="22"/>
          <w:szCs w:val="22"/>
          <w:color w:val="auto"/>
        </w:rPr>
        <w:t>” has the meaning set forth in the introductory paragraph of this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Counterparty Indemnified Party</w:t>
      </w:r>
      <w:r>
        <w:rPr>
          <w:rFonts w:ascii="Arial" w:cs="Arial" w:eastAsia="Arial" w:hAnsi="Arial"/>
          <w:sz w:val="22"/>
          <w:szCs w:val="22"/>
          <w:color w:val="auto"/>
        </w:rPr>
        <w:t>” has the meaning set forth in Section 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Deed of Trust</w:t>
      </w:r>
      <w:r>
        <w:rPr>
          <w:rFonts w:ascii="Arial" w:cs="Arial" w:eastAsia="Arial" w:hAnsi="Arial"/>
          <w:sz w:val="22"/>
          <w:szCs w:val="22"/>
          <w:color w:val="auto"/>
        </w:rPr>
        <w:t>” has the meaning given to the term “Deed of Trust” in the Settlement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Depository Bank</w:t>
      </w:r>
      <w:r>
        <w:rPr>
          <w:rFonts w:ascii="Arial" w:cs="Arial" w:eastAsia="Arial" w:hAnsi="Arial"/>
          <w:sz w:val="22"/>
          <w:szCs w:val="22"/>
          <w:color w:val="auto"/>
        </w:rPr>
        <w:t>” has the meaning set forth in Section 3.1(c).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Diagnostics Assets</w:t>
      </w:r>
      <w:r>
        <w:rPr>
          <w:rFonts w:ascii="Arial" w:cs="Arial" w:eastAsia="Arial" w:hAnsi="Arial"/>
          <w:sz w:val="22"/>
          <w:szCs w:val="22"/>
          <w:color w:val="auto"/>
        </w:rPr>
        <w:t>” has the meaning given to the term “Diagnostics Assets” in the Settlement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Disclosing Party</w:t>
      </w:r>
      <w:r>
        <w:rPr>
          <w:rFonts w:ascii="Arial" w:cs="Arial" w:eastAsia="Arial" w:hAnsi="Arial"/>
          <w:sz w:val="22"/>
          <w:szCs w:val="22"/>
          <w:color w:val="auto"/>
        </w:rPr>
        <w:t>” has the meaning set forth in Section 7.1.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Agent</w:t>
      </w:r>
      <w:r>
        <w:rPr>
          <w:rFonts w:ascii="Arial" w:cs="Arial" w:eastAsia="Arial" w:hAnsi="Arial"/>
          <w:sz w:val="22"/>
          <w:szCs w:val="22"/>
          <w:color w:val="auto"/>
        </w:rPr>
        <w:t>” has the meaning given such term in the Escrow Agreement.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means that certain Escrow Agreement dated as of August 11, 2020, by and among the Counterparty, the Adverse Parties and Escrow Agent, as may be amended, modified, supplemented or waived from time to time in accordance therewith.</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Intangibles</w:t>
      </w:r>
      <w:r>
        <w:rPr>
          <w:rFonts w:ascii="Arial" w:cs="Arial" w:eastAsia="Arial" w:hAnsi="Arial"/>
          <w:sz w:val="22"/>
          <w:szCs w:val="22"/>
          <w:color w:val="auto"/>
        </w:rPr>
        <w:t>” has the meaning given to such term in the NYUCC.</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Hyperion</w:t>
      </w:r>
      <w:r>
        <w:rPr>
          <w:rFonts w:ascii="Arial" w:cs="Arial" w:eastAsia="Arial" w:hAnsi="Arial"/>
          <w:sz w:val="22"/>
          <w:szCs w:val="22"/>
          <w:color w:val="auto"/>
        </w:rPr>
        <w:t>” has the meaning set forth in Section 5.2(c)(ii).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Losses</w:t>
      </w:r>
      <w:r>
        <w:rPr>
          <w:rFonts w:ascii="Arial" w:cs="Arial" w:eastAsia="Arial" w:hAnsi="Arial"/>
          <w:sz w:val="22"/>
          <w:szCs w:val="22"/>
          <w:color w:val="auto"/>
        </w:rPr>
        <w:t>” has the meaning set forth in Section 9.</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Adverse Effect</w:t>
      </w:r>
      <w:r>
        <w:rPr>
          <w:rFonts w:ascii="Arial" w:cs="Arial" w:eastAsia="Arial" w:hAnsi="Arial"/>
          <w:sz w:val="19"/>
          <w:szCs w:val="19"/>
          <w:color w:val="auto"/>
        </w:rPr>
        <w:t>” means, with respect to any event or circumstance and either party, one or more of (i) the material impairment of its ability to perform any of its material obligations under this Agreement or any other Transaction Document,</w:t>
      </w:r>
    </w:p>
    <w:p>
      <w:pPr>
        <w:spacing w:after="0" w:line="1" w:lineRule="exact"/>
        <w:rPr>
          <w:sz w:val="20"/>
          <w:szCs w:val="20"/>
          <w:color w:val="auto"/>
        </w:rPr>
      </w:pPr>
    </w:p>
    <w:p>
      <w:pPr>
        <w:jc w:val="both"/>
        <w:ind w:firstLine="8"/>
        <w:spacing w:after="0" w:line="245" w:lineRule="auto"/>
        <w:tabs>
          <w:tab w:leader="none" w:pos="33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material impairment of the rights or remedies available under this Agreement or any other Transaction Document to the other party and (iii) solely in the case of the Counterparty, an adverse effect on any Claim or the Settlement Agreement or the value or collectability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Exhibit A - Page 3</w:t>
      </w:r>
    </w:p>
    <w:p>
      <w:pPr>
        <w:sectPr>
          <w:pgSz w:w="11900" w:h="16838" w:orient="portrait"/>
          <w:cols w:equalWidth="0" w:num="1">
            <w:col w:w="11240"/>
          </w:cols>
          <w:pgMar w:left="320" w:top="1428"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Nominated Lawyers</w:t>
      </w:r>
      <w:r>
        <w:rPr>
          <w:rFonts w:ascii="Arial" w:cs="Arial" w:eastAsia="Arial" w:hAnsi="Arial"/>
          <w:sz w:val="22"/>
          <w:szCs w:val="22"/>
          <w:color w:val="auto"/>
        </w:rPr>
        <w:t>” means Gibson, Dunn &amp; Crutcher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NYUCC</w:t>
      </w:r>
      <w:r>
        <w:rPr>
          <w:rFonts w:ascii="Arial" w:cs="Arial" w:eastAsia="Arial" w:hAnsi="Arial"/>
          <w:sz w:val="22"/>
          <w:szCs w:val="22"/>
          <w:color w:val="auto"/>
        </w:rPr>
        <w:t>” means the Uniform Commercial Code as in effect from time to time in the State of New York.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 Intangibles</w:t>
      </w:r>
      <w:r>
        <w:rPr>
          <w:rFonts w:ascii="Arial" w:cs="Arial" w:eastAsia="Arial" w:hAnsi="Arial"/>
          <w:sz w:val="22"/>
          <w:szCs w:val="22"/>
          <w:color w:val="auto"/>
        </w:rPr>
        <w:t>” has the meaning given to such term in the NYUCC.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PDL Instruments</w:t>
      </w:r>
      <w:r>
        <w:rPr>
          <w:rFonts w:ascii="Arial" w:cs="Arial" w:eastAsia="Arial" w:hAnsi="Arial"/>
          <w:sz w:val="22"/>
          <w:szCs w:val="22"/>
          <w:color w:val="auto"/>
        </w:rPr>
        <w:t>” has the meaning given to such term in the Settlement Agreement.</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PDL/Wellstat Collateral Documents</w:t>
      </w:r>
      <w:r>
        <w:rPr>
          <w:rFonts w:ascii="Arial" w:cs="Arial" w:eastAsia="Arial" w:hAnsi="Arial"/>
          <w:sz w:val="22"/>
          <w:szCs w:val="22"/>
          <w:color w:val="auto"/>
        </w:rPr>
        <w:t>” means each mortgage, deed of trust, security agreement, pledge agreement, deposit control account agreement or similar agreement pursuant to which an Adverse Party provides the Counterparty with a PDL/Wellstat Security Interest to secure an obligation of an Adverse Party to the Counterparty, including, without limitation, the Deed of Trust, the Intellectual Property Security Agreements (as defined in the Settlement Agreement) and the Notes (as defined in the Settlement Agreement).</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PDL/Wellstat Documents</w:t>
      </w:r>
      <w:r>
        <w:rPr>
          <w:rFonts w:ascii="Arial" w:cs="Arial" w:eastAsia="Arial" w:hAnsi="Arial"/>
          <w:sz w:val="22"/>
          <w:szCs w:val="22"/>
          <w:color w:val="auto"/>
        </w:rPr>
        <w:t>” means, collectively, all documents and agreements by and among the Counterparty and the Adverse Party relating to any commercial transaction that was ever contemplated or consummated between the Counterparty on the one hand and any Adverse Party or any Affiliate of any Adverse Party on the other hand before the date of this Agreement, including, but not limited to, the documents identified on Schedule B to the Settlement Agreement, in each case, as amended, amended and restated, supplemented or otherwise modified prior to the effective date of the Settlement Agreement, provided, however, that all rights under all PDL/Wellstat Documents are subject to the resolution of the Claims in, and the terms of, the Settlement Agreement.</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PDL/Wellstat Financing Statements</w:t>
      </w:r>
      <w:r>
        <w:rPr>
          <w:rFonts w:ascii="Arial" w:cs="Arial" w:eastAsia="Arial" w:hAnsi="Arial"/>
          <w:sz w:val="22"/>
          <w:szCs w:val="22"/>
          <w:color w:val="auto"/>
        </w:rPr>
        <w:t>” means each UCC financing statements listing the Counterparty as secured creditor and an Adverse Party or an Affiliate of an Adverse Party as debtor.</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PDL/Wellstat Security Interests</w:t>
      </w:r>
      <w:r>
        <w:rPr>
          <w:rFonts w:ascii="Arial" w:cs="Arial" w:eastAsia="Arial" w:hAnsi="Arial"/>
          <w:sz w:val="22"/>
          <w:szCs w:val="22"/>
          <w:color w:val="auto"/>
        </w:rPr>
        <w:t>” means each mortgage, deed of trust, lien, pledge, hypothecation, encumbrance, charge, possessory collateral (including certificates of equity interests of an Adverse Party and associated powers) or security interest held by the Counterparty against an Adverse Party, including those held pursuant to a PDL/Wellstat Collateral Document and/or evidenced by a PDL/Wellstat Financing Statement.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natural person, corporation, limited liability company, trust, joint venture, association, company, partnership or other entity or Governmental Authority.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Privileges</w:t>
      </w:r>
      <w:r>
        <w:rPr>
          <w:rFonts w:ascii="Arial" w:cs="Arial" w:eastAsia="Arial" w:hAnsi="Arial"/>
          <w:sz w:val="22"/>
          <w:szCs w:val="22"/>
          <w:color w:val="auto"/>
        </w:rPr>
        <w:t>” has the meaning set forth in the definition of “Protected Material”.</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Proceeds</w:t>
      </w:r>
      <w:r>
        <w:rPr>
          <w:rFonts w:ascii="Arial" w:cs="Arial" w:eastAsia="Arial" w:hAnsi="Arial"/>
          <w:sz w:val="22"/>
          <w:szCs w:val="22"/>
          <w:color w:val="auto"/>
        </w:rPr>
        <w:t>” means, collectively: (i) any and all gross, pre-tax monetary awards, damages, recoveries, judgments or other property or value awarded to or recovered by or on behalf of (or reduced to a debt owed to) the Counterparty on account or as a result or by virtue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Exhibit A - Page 4</w:t>
      </w:r>
    </w:p>
    <w:p>
      <w:pPr>
        <w:sectPr>
          <w:pgSz w:w="11900" w:h="16838" w:orient="portrait"/>
          <w:cols w:equalWidth="0" w:num="1">
            <w:col w:w="11240"/>
          </w:cols>
          <w:pgMar w:left="320" w:top="1428" w:right="339" w:bottom="1440" w:gutter="0" w:footer="0" w:header="0"/>
        </w:sectPr>
      </w:pPr>
    </w:p>
    <w:bookmarkStart w:id="173" w:name="page174"/>
    <w:bookmarkEnd w:id="173"/>
    <w:p>
      <w:pPr>
        <w:jc w:val="both"/>
        <w:spacing w:after="0" w:line="292" w:lineRule="auto"/>
        <w:rPr>
          <w:sz w:val="20"/>
          <w:szCs w:val="20"/>
          <w:color w:val="auto"/>
        </w:rPr>
      </w:pPr>
      <w:r>
        <w:rPr>
          <w:rFonts w:ascii="Arial" w:cs="Arial" w:eastAsia="Arial" w:hAnsi="Arial"/>
          <w:sz w:val="19"/>
          <w:szCs w:val="19"/>
          <w:color w:val="auto"/>
        </w:rPr>
        <w:t>(directly or indirectly) of the Claim, whether pursuant to the Settlement Agreement or any collection and enforcement efforts with respect to the Claim, whether by negotiation, arbitration, mediation, diplomatic efforts, lawsuit, settlement, or otherwise; and includes all of the Counterparty’s legal and/or equitable rights, title and interest in and/or to any of the foregoing, whether in the nature of ownership, lien, security interest or otherwise; [***]. All of the foregoing constitute Proceeds in any form, including cash, real estate, negotiable instruments, intellectual or intangible property, choses in action, contract rights, membership rights, subrogation rights, annuities, claims, refunds, and any other rights to payment of cash and/or transfer(s) of things of value or other property (including property substituted therefor), whether delivered or to be delivered in a lump sum or in installments.</w:t>
      </w:r>
    </w:p>
    <w:p>
      <w:pPr>
        <w:spacing w:after="0" w:line="15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Protected Material</w:t>
      </w:r>
      <w:r>
        <w:rPr>
          <w:rFonts w:ascii="Arial" w:cs="Arial" w:eastAsia="Arial" w:hAnsi="Arial"/>
          <w:sz w:val="19"/>
          <w:szCs w:val="19"/>
          <w:color w:val="auto"/>
        </w:rPr>
        <w:t>” means any Confidential Information that is the work product of qualified legal advisers and/or attorney work product, protected by the attorney-client privilege or any similar privilege in any jurisdiction including, for the avoidance of doubt, legal professional privilege and/or litigation or arbitral privilege, or that is protected by any rules of professional secrecy in any jurisdiction (collectively, “</w:t>
      </w:r>
      <w:r>
        <w:rPr>
          <w:rFonts w:ascii="Arial" w:cs="Arial" w:eastAsia="Arial" w:hAnsi="Arial"/>
          <w:sz w:val="19"/>
          <w:szCs w:val="19"/>
          <w:b w:val="1"/>
          <w:bCs w:val="1"/>
          <w:i w:val="1"/>
          <w:iCs w:val="1"/>
          <w:color w:val="auto"/>
        </w:rPr>
        <w:t>Privileges</w:t>
      </w:r>
      <w:r>
        <w:rPr>
          <w:rFonts w:ascii="Arial" w:cs="Arial" w:eastAsia="Arial" w:hAnsi="Arial"/>
          <w:sz w:val="19"/>
          <w:szCs w:val="19"/>
          <w:color w:val="auto"/>
        </w:rPr>
        <w:t>”), including: (i) information prepared by a party to a Claim or any of its Affiliates or their counsel, advisors, consultants or agents; or (ii) information prepared by the Capital Provider or any of its Representatives in connection with the review of a Claim, including legal and factual memoranda, case analyses and evaluations.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Recipient</w:t>
      </w:r>
      <w:r>
        <w:rPr>
          <w:rFonts w:ascii="Arial" w:cs="Arial" w:eastAsia="Arial" w:hAnsi="Arial"/>
          <w:sz w:val="22"/>
          <w:szCs w:val="22"/>
          <w:color w:val="auto"/>
        </w:rPr>
        <w:t>” has the meaning set forth in Section 7.1.</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Representation Date</w:t>
      </w:r>
      <w:r>
        <w:rPr>
          <w:rFonts w:ascii="Arial" w:cs="Arial" w:eastAsia="Arial" w:hAnsi="Arial"/>
          <w:sz w:val="22"/>
          <w:szCs w:val="22"/>
          <w:color w:val="auto"/>
        </w:rPr>
        <w:t>” means (i) the date hereof, and (ii) the date on which the Capital Provider makes payment of the Capital Amount, which shall be no later than December 31, 2020.</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Representatives</w:t>
      </w:r>
      <w:r>
        <w:rPr>
          <w:rFonts w:ascii="Arial" w:cs="Arial" w:eastAsia="Arial" w:hAnsi="Arial"/>
          <w:sz w:val="22"/>
          <w:szCs w:val="22"/>
          <w:color w:val="auto"/>
        </w:rPr>
        <w:t>” means, with respect to any person or entity, as applicable, its Affiliates and its and their directors, officers, managers, members, agents, employees, assignees, lawyers, accountants, consultants, advisors, auditors and independent contractors.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Rules</w:t>
      </w:r>
      <w:r>
        <w:rPr>
          <w:rFonts w:ascii="Arial" w:cs="Arial" w:eastAsia="Arial" w:hAnsi="Arial"/>
          <w:sz w:val="22"/>
          <w:szCs w:val="22"/>
          <w:color w:val="auto"/>
        </w:rPr>
        <w:t>” has the meaning set forth in Section 24.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Scheduled Final Payment</w:t>
      </w:r>
      <w:r>
        <w:rPr>
          <w:rFonts w:ascii="Arial" w:cs="Arial" w:eastAsia="Arial" w:hAnsi="Arial"/>
          <w:sz w:val="22"/>
          <w:szCs w:val="22"/>
          <w:color w:val="auto"/>
        </w:rPr>
        <w:t>” has the meaning given such term in the Settlement Agreement.</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Settlement Agreement</w:t>
      </w:r>
      <w:r>
        <w:rPr>
          <w:rFonts w:ascii="Arial" w:cs="Arial" w:eastAsia="Arial" w:hAnsi="Arial"/>
          <w:sz w:val="21"/>
          <w:szCs w:val="21"/>
          <w:color w:val="auto"/>
        </w:rPr>
        <w:t>” means that certain Settlement and Mutual Release Agreement between the Counterparty and the Adverse Parties dated as of August 11, 2020 relating to the Claim, together with all associated documents to the Settlement Agreement (including any confession of judgment authorized by some or all of the Adverse Parties).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Supporting Obligations</w:t>
      </w:r>
      <w:r>
        <w:rPr>
          <w:rFonts w:ascii="Arial" w:cs="Arial" w:eastAsia="Arial" w:hAnsi="Arial"/>
          <w:sz w:val="22"/>
          <w:szCs w:val="22"/>
          <w:color w:val="auto"/>
        </w:rPr>
        <w:t>” has the meaning given to such term in the NYUCC.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Exhibit A - Page 5</w:t>
      </w:r>
    </w:p>
    <w:p>
      <w:pPr>
        <w:sectPr>
          <w:pgSz w:w="11900" w:h="16838" w:orient="portrait"/>
          <w:cols w:equalWidth="0" w:num="1">
            <w:col w:w="11240"/>
          </w:cols>
          <w:pgMar w:left="320" w:top="1428" w:right="339" w:bottom="1440" w:gutter="0" w:footer="0" w:header="0"/>
        </w:sectPr>
      </w:pPr>
    </w:p>
    <w:bookmarkStart w:id="174" w:name="page175"/>
    <w:bookmarkEnd w:id="174"/>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w:t>
      </w:r>
      <w:r>
        <w:rPr>
          <w:rFonts w:ascii="Arial" w:cs="Arial" w:eastAsia="Arial" w:hAnsi="Arial"/>
          <w:sz w:val="22"/>
          <w:szCs w:val="22"/>
          <w:color w:val="auto"/>
        </w:rPr>
        <w:t>” means any tax, duty, contribution, impost, withholding, levy or other charge or withholding of a similar nature (including use, sales and value added taxes), whether domestic or foreign, and any fine, penalty, surcharge or interest in connection therewith.</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means, collectively, this Agreement and the Assignment.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Tribunal</w:t>
      </w:r>
      <w:r>
        <w:rPr>
          <w:rFonts w:ascii="Arial" w:cs="Arial" w:eastAsia="Arial" w:hAnsi="Arial"/>
          <w:sz w:val="22"/>
          <w:szCs w:val="22"/>
          <w:color w:val="auto"/>
        </w:rPr>
        <w:t>” has the meaning set forth in Section 24.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Wellstat Collateral</w:t>
      </w:r>
      <w:r>
        <w:rPr>
          <w:rFonts w:ascii="Arial" w:cs="Arial" w:eastAsia="Arial" w:hAnsi="Arial"/>
          <w:sz w:val="22"/>
          <w:szCs w:val="22"/>
          <w:color w:val="auto"/>
        </w:rPr>
        <w:t>” has the meaning given to the term “Collateral” in the Settlement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Exhibit A - Page 6</w:t>
      </w:r>
    </w:p>
    <w:p>
      <w:pPr>
        <w:sectPr>
          <w:pgSz w:w="11900" w:h="16838" w:orient="portrait"/>
          <w:cols w:equalWidth="0" w:num="1">
            <w:col w:w="11240"/>
          </w:cols>
          <w:pgMar w:left="320" w:top="1428" w:right="339" w:bottom="1440" w:gutter="0" w:footer="0" w:header="0"/>
        </w:sectPr>
      </w:pPr>
    </w:p>
    <w:bookmarkStart w:id="175" w:name="page176"/>
    <w:bookmarkEnd w:id="175"/>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40" w:right="1440" w:bottom="1440" w:gutter="0" w:footer="0" w:header="0"/>
        </w:sectPr>
      </w:pPr>
    </w:p>
    <w:bookmarkStart w:id="176" w:name="page177"/>
    <w:bookmarkEnd w:id="176"/>
    <w:tbl>
      <w:tblPr>
        <w:tblLayout w:type="fixed"/>
        <w:tblInd w:w="10" w:type="dxa"/>
        <w:tblCellMar>
          <w:top w:w="0" w:type="dxa"/>
          <w:left w:w="0" w:type="dxa"/>
          <w:bottom w:w="0" w:type="dxa"/>
          <w:right w:w="0" w:type="dxa"/>
        </w:tblCellMar>
      </w:tblPr>
      <w:tr>
        <w:trPr>
          <w:trHeight w:val="280"/>
        </w:trPr>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500" w:type="dxa"/>
            <w:vAlign w:val="bottom"/>
          </w:tcPr>
          <w:p>
            <w:pPr>
              <w:ind w:left="520"/>
              <w:spacing w:after="0"/>
              <w:rPr>
                <w:sz w:val="20"/>
                <w:szCs w:val="20"/>
                <w:color w:val="auto"/>
              </w:rPr>
            </w:pPr>
            <w:r>
              <w:rPr>
                <w:rFonts w:ascii="Arial" w:cs="Arial" w:eastAsia="Arial" w:hAnsi="Arial"/>
                <w:sz w:val="22"/>
                <w:szCs w:val="22"/>
                <w:b w:val="1"/>
                <w:bCs w:val="1"/>
                <w:color w:val="auto"/>
              </w:rPr>
              <w:t>Annex I</w:t>
            </w:r>
          </w:p>
        </w:tc>
      </w:tr>
      <w:tr>
        <w:trPr>
          <w:trHeight w:val="473"/>
        </w:trPr>
        <w:tc>
          <w:tcPr>
            <w:tcW w:w="4740" w:type="dxa"/>
            <w:vAlign w:val="bottom"/>
            <w:gridSpan w:val="2"/>
          </w:tcPr>
          <w:p>
            <w:pPr>
              <w:spacing w:after="0"/>
              <w:rPr>
                <w:sz w:val="20"/>
                <w:szCs w:val="20"/>
                <w:color w:val="auto"/>
              </w:rPr>
            </w:pPr>
            <w:r>
              <w:rPr>
                <w:rFonts w:ascii="Arial" w:cs="Arial" w:eastAsia="Arial" w:hAnsi="Arial"/>
                <w:sz w:val="22"/>
                <w:szCs w:val="22"/>
                <w:b w:val="1"/>
                <w:bCs w:val="1"/>
                <w:color w:val="auto"/>
              </w:rPr>
              <w:t>Counterparty: PDL BioPharma, Inc.</w:t>
            </w:r>
          </w:p>
        </w:tc>
        <w:tc>
          <w:tcPr>
            <w:tcW w:w="6500" w:type="dxa"/>
            <w:vAlign w:val="bottom"/>
          </w:tcPr>
          <w:p>
            <w:pPr>
              <w:spacing w:after="0"/>
              <w:rPr>
                <w:sz w:val="24"/>
                <w:szCs w:val="24"/>
                <w:color w:val="auto"/>
              </w:rPr>
            </w:pPr>
          </w:p>
        </w:tc>
      </w:tr>
      <w:tr>
        <w:trPr>
          <w:trHeight w:val="233"/>
        </w:trPr>
        <w:tc>
          <w:tcPr>
            <w:tcW w:w="56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tcPr>
          <w:p>
            <w:pPr>
              <w:spacing w:after="0"/>
              <w:rPr>
                <w:sz w:val="20"/>
                <w:szCs w:val="20"/>
                <w:color w:val="auto"/>
              </w:rPr>
            </w:pPr>
          </w:p>
        </w:tc>
      </w:tr>
      <w:tr>
        <w:trPr>
          <w:trHeight w:val="263"/>
        </w:trPr>
        <w:tc>
          <w:tcPr>
            <w:tcW w:w="5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4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Type of Entity:</w:t>
            </w:r>
          </w:p>
        </w:tc>
        <w:tc>
          <w:tcPr>
            <w:tcW w:w="6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Corporation</w:t>
            </w:r>
          </w:p>
        </w:tc>
      </w:tr>
      <w:tr>
        <w:trPr>
          <w:trHeight w:val="263"/>
        </w:trPr>
        <w:tc>
          <w:tcPr>
            <w:tcW w:w="5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Jurisdiction of Organization or Formation:</w:t>
            </w:r>
          </w:p>
        </w:tc>
        <w:tc>
          <w:tcPr>
            <w:tcW w:w="6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Delaware</w:t>
            </w:r>
          </w:p>
        </w:tc>
      </w:tr>
      <w:tr>
        <w:trPr>
          <w:trHeight w:val="202"/>
        </w:trPr>
        <w:tc>
          <w:tcPr>
            <w:tcW w:w="560" w:type="dxa"/>
            <w:vAlign w:val="bottom"/>
            <w:tcBorders>
              <w:left w:val="single" w:sz="8" w:color="auto"/>
            </w:tcBorders>
          </w:tcPr>
          <w:p>
            <w:pPr>
              <w:jc w:val="right"/>
              <w:spacing w:after="0" w:line="202" w:lineRule="exact"/>
              <w:rPr>
                <w:sz w:val="20"/>
                <w:szCs w:val="20"/>
                <w:color w:val="auto"/>
              </w:rPr>
            </w:pPr>
            <w:r>
              <w:rPr>
                <w:rFonts w:ascii="Arial" w:cs="Arial" w:eastAsia="Arial" w:hAnsi="Arial"/>
                <w:sz w:val="22"/>
                <w:szCs w:val="22"/>
                <w:color w:val="auto"/>
              </w:rPr>
              <w:t>3.</w:t>
            </w:r>
          </w:p>
        </w:tc>
        <w:tc>
          <w:tcPr>
            <w:tcW w:w="41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22"/>
                <w:szCs w:val="22"/>
                <w:color w:val="auto"/>
              </w:rPr>
              <w:t>Security Agreement(s):</w:t>
            </w:r>
          </w:p>
        </w:tc>
        <w:tc>
          <w:tcPr>
            <w:tcW w:w="6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22"/>
                <w:szCs w:val="22"/>
                <w:color w:val="auto"/>
                <w:w w:val="87"/>
              </w:rPr>
              <w:t>Security Agreement, dated as of the date hereof, between the Counterparty</w:t>
            </w:r>
          </w:p>
        </w:tc>
      </w:tr>
      <w:tr>
        <w:trPr>
          <w:trHeight w:val="276"/>
        </w:trPr>
        <w:tc>
          <w:tcPr>
            <w:tcW w:w="560" w:type="dxa"/>
            <w:vAlign w:val="bottom"/>
            <w:tcBorders>
              <w:left w:val="single" w:sz="8" w:color="auto"/>
              <w:bottom w:val="single" w:sz="8" w:color="auto"/>
            </w:tcBorders>
          </w:tcPr>
          <w:p>
            <w:pPr>
              <w:spacing w:after="0"/>
              <w:rPr>
                <w:sz w:val="24"/>
                <w:szCs w:val="24"/>
                <w:color w:val="auto"/>
              </w:rPr>
            </w:pPr>
          </w:p>
        </w:tc>
        <w:tc>
          <w:tcPr>
            <w:tcW w:w="41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as grantor and the Capital Provider as secured parties</w:t>
            </w:r>
          </w:p>
        </w:tc>
      </w:tr>
      <w:tr>
        <w:trPr>
          <w:trHeight w:val="289"/>
        </w:trPr>
        <w:tc>
          <w:tcPr>
            <w:tcW w:w="5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rPr>
              <w:t>4.</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Notice Information:</w:t>
            </w:r>
          </w:p>
        </w:tc>
        <w:tc>
          <w:tcPr>
            <w:tcW w:w="6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89"/>
              </w:rPr>
              <w:t>Address: 59 Damonte Ranch Parkway, Suite B-375, Reno, Nevada 89521</w:t>
            </w:r>
          </w:p>
        </w:tc>
      </w:tr>
      <w:tr>
        <w:trPr>
          <w:trHeight w:val="473"/>
        </w:trPr>
        <w:tc>
          <w:tcPr>
            <w:tcW w:w="560" w:type="dxa"/>
            <w:vAlign w:val="bottom"/>
            <w:tcBorders>
              <w:left w:val="single" w:sz="8" w:color="auto"/>
            </w:tcBorders>
          </w:tcPr>
          <w:p>
            <w:pPr>
              <w:spacing w:after="0"/>
              <w:rPr>
                <w:sz w:val="24"/>
                <w:szCs w:val="24"/>
                <w:color w:val="auto"/>
              </w:rPr>
            </w:pPr>
          </w:p>
        </w:tc>
        <w:tc>
          <w:tcPr>
            <w:tcW w:w="41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Fax Number: 775-832-8501</w:t>
            </w:r>
          </w:p>
        </w:tc>
      </w:tr>
      <w:tr>
        <w:trPr>
          <w:trHeight w:val="473"/>
        </w:trPr>
        <w:tc>
          <w:tcPr>
            <w:tcW w:w="560" w:type="dxa"/>
            <w:vAlign w:val="bottom"/>
            <w:tcBorders>
              <w:left w:val="single" w:sz="8" w:color="auto"/>
            </w:tcBorders>
          </w:tcPr>
          <w:p>
            <w:pPr>
              <w:spacing w:after="0"/>
              <w:rPr>
                <w:sz w:val="24"/>
                <w:szCs w:val="24"/>
                <w:color w:val="auto"/>
              </w:rPr>
            </w:pPr>
          </w:p>
        </w:tc>
        <w:tc>
          <w:tcPr>
            <w:tcW w:w="41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Email Address: general.counsel@pdl.com</w:t>
            </w:r>
          </w:p>
        </w:tc>
      </w:tr>
      <w:tr>
        <w:trPr>
          <w:trHeight w:val="473"/>
        </w:trPr>
        <w:tc>
          <w:tcPr>
            <w:tcW w:w="560" w:type="dxa"/>
            <w:vAlign w:val="bottom"/>
            <w:tcBorders>
              <w:left w:val="single" w:sz="8" w:color="auto"/>
            </w:tcBorders>
          </w:tcPr>
          <w:p>
            <w:pPr>
              <w:spacing w:after="0"/>
              <w:rPr>
                <w:sz w:val="24"/>
                <w:szCs w:val="24"/>
                <w:color w:val="auto"/>
              </w:rPr>
            </w:pPr>
          </w:p>
        </w:tc>
        <w:tc>
          <w:tcPr>
            <w:tcW w:w="41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Attn: General Counsel</w:t>
            </w:r>
          </w:p>
        </w:tc>
      </w:tr>
      <w:tr>
        <w:trPr>
          <w:trHeight w:val="233"/>
        </w:trPr>
        <w:tc>
          <w:tcPr>
            <w:tcW w:w="560" w:type="dxa"/>
            <w:vAlign w:val="bottom"/>
            <w:tcBorders>
              <w:left w:val="single" w:sz="8" w:color="auto"/>
              <w:bottom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6500" w:type="dxa"/>
            <w:vAlign w:val="bottom"/>
            <w:tcBorders>
              <w:bottom w:val="single" w:sz="8" w:color="auto"/>
              <w:right w:val="single" w:sz="8" w:color="auto"/>
            </w:tcBorders>
          </w:tcPr>
          <w:p>
            <w:pPr>
              <w:spacing w:after="0"/>
              <w:rPr>
                <w:sz w:val="20"/>
                <w:szCs w:val="20"/>
                <w:color w:val="auto"/>
              </w:rPr>
            </w:pPr>
          </w:p>
        </w:tc>
      </w:tr>
      <w:tr>
        <w:trPr>
          <w:trHeight w:val="287"/>
        </w:trPr>
        <w:tc>
          <w:tcPr>
            <w:tcW w:w="56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41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Notice Information for Nominated Lawyers:</w:t>
            </w:r>
          </w:p>
        </w:tc>
        <w:tc>
          <w:tcPr>
            <w:tcW w:w="6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Address: 200 Park Avenue, New York, NY 10166-0193</w:t>
            </w:r>
          </w:p>
        </w:tc>
      </w:tr>
      <w:tr>
        <w:trPr>
          <w:trHeight w:val="473"/>
        </w:trPr>
        <w:tc>
          <w:tcPr>
            <w:tcW w:w="560" w:type="dxa"/>
            <w:vAlign w:val="bottom"/>
            <w:tcBorders>
              <w:left w:val="single" w:sz="8" w:color="auto"/>
            </w:tcBorders>
          </w:tcPr>
          <w:p>
            <w:pPr>
              <w:spacing w:after="0"/>
              <w:rPr>
                <w:sz w:val="24"/>
                <w:szCs w:val="24"/>
                <w:color w:val="auto"/>
              </w:rPr>
            </w:pPr>
          </w:p>
        </w:tc>
        <w:tc>
          <w:tcPr>
            <w:tcW w:w="41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Fax Numbers: 212-351-5236; 212-351-6253</w:t>
            </w:r>
          </w:p>
        </w:tc>
      </w:tr>
      <w:tr>
        <w:trPr>
          <w:trHeight w:val="473"/>
        </w:trPr>
        <w:tc>
          <w:tcPr>
            <w:tcW w:w="560" w:type="dxa"/>
            <w:vAlign w:val="bottom"/>
            <w:tcBorders>
              <w:left w:val="single" w:sz="8" w:color="auto"/>
            </w:tcBorders>
          </w:tcPr>
          <w:p>
            <w:pPr>
              <w:spacing w:after="0"/>
              <w:rPr>
                <w:sz w:val="24"/>
                <w:szCs w:val="24"/>
                <w:color w:val="auto"/>
              </w:rPr>
            </w:pPr>
          </w:p>
        </w:tc>
        <w:tc>
          <w:tcPr>
            <w:tcW w:w="41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3"/>
              </w:rPr>
              <w:t>Email Addresses: rweigel@gibsondunn.com; JMyatt@gibsondunn.com</w:t>
            </w:r>
          </w:p>
        </w:tc>
      </w:tr>
      <w:tr>
        <w:trPr>
          <w:trHeight w:val="473"/>
        </w:trPr>
        <w:tc>
          <w:tcPr>
            <w:tcW w:w="560" w:type="dxa"/>
            <w:vAlign w:val="bottom"/>
            <w:tcBorders>
              <w:left w:val="single" w:sz="8" w:color="auto"/>
            </w:tcBorders>
          </w:tcPr>
          <w:p>
            <w:pPr>
              <w:spacing w:after="0"/>
              <w:rPr>
                <w:sz w:val="24"/>
                <w:szCs w:val="24"/>
                <w:color w:val="auto"/>
              </w:rPr>
            </w:pPr>
          </w:p>
        </w:tc>
        <w:tc>
          <w:tcPr>
            <w:tcW w:w="41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Attn: Robert Weigel; Jason Myatt</w:t>
            </w:r>
          </w:p>
        </w:tc>
      </w:tr>
      <w:tr>
        <w:trPr>
          <w:trHeight w:val="233"/>
        </w:trPr>
        <w:tc>
          <w:tcPr>
            <w:tcW w:w="474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6500" w:type="dxa"/>
            <w:vAlign w:val="bottom"/>
            <w:tcBorders>
              <w:bottom w:val="single" w:sz="8" w:color="auto"/>
              <w:right w:val="single" w:sz="8" w:color="auto"/>
            </w:tcBorders>
          </w:tcPr>
          <w:p>
            <w:pPr>
              <w:spacing w:after="0"/>
              <w:rPr>
                <w:sz w:val="20"/>
                <w:szCs w:val="20"/>
                <w:color w:val="auto"/>
              </w:rPr>
            </w:pPr>
          </w:p>
        </w:tc>
      </w:tr>
      <w:tr>
        <w:trPr>
          <w:trHeight w:val="922"/>
        </w:trPr>
        <w:tc>
          <w:tcPr>
            <w:tcW w:w="4740" w:type="dxa"/>
            <w:vAlign w:val="bottom"/>
            <w:gridSpan w:val="2"/>
          </w:tcPr>
          <w:p>
            <w:pPr>
              <w:spacing w:after="0"/>
              <w:rPr>
                <w:sz w:val="20"/>
                <w:szCs w:val="20"/>
                <w:color w:val="auto"/>
              </w:rPr>
            </w:pPr>
            <w:r>
              <w:rPr>
                <w:rFonts w:ascii="Arial" w:cs="Arial" w:eastAsia="Arial" w:hAnsi="Arial"/>
                <w:sz w:val="22"/>
                <w:szCs w:val="22"/>
                <w:b w:val="1"/>
                <w:bCs w:val="1"/>
                <w:color w:val="auto"/>
              </w:rPr>
              <w:t>Capital Provider:   Epps Investments LLC</w:t>
            </w:r>
          </w:p>
        </w:tc>
        <w:tc>
          <w:tcPr>
            <w:tcW w:w="6500" w:type="dxa"/>
            <w:vAlign w:val="bottom"/>
          </w:tcPr>
          <w:p>
            <w:pPr>
              <w:spacing w:after="0"/>
              <w:rPr>
                <w:sz w:val="24"/>
                <w:szCs w:val="24"/>
                <w:color w:val="auto"/>
              </w:rPr>
            </w:pPr>
          </w:p>
        </w:tc>
      </w:tr>
      <w:tr>
        <w:trPr>
          <w:trHeight w:val="476"/>
        </w:trPr>
        <w:tc>
          <w:tcPr>
            <w:tcW w:w="5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r>
        <w:trPr>
          <w:trHeight w:val="263"/>
        </w:trPr>
        <w:tc>
          <w:tcPr>
            <w:tcW w:w="5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w:t>
            </w:r>
          </w:p>
        </w:tc>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Type of Entity:</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Limited liability company</w:t>
            </w:r>
          </w:p>
        </w:tc>
      </w:tr>
      <w:tr>
        <w:trPr>
          <w:trHeight w:val="263"/>
        </w:trPr>
        <w:tc>
          <w:tcPr>
            <w:tcW w:w="5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7.</w:t>
            </w:r>
          </w:p>
        </w:tc>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Jurisdiction of Organization or Formation:</w:t>
            </w:r>
          </w:p>
        </w:tc>
        <w:tc>
          <w:tcPr>
            <w:tcW w:w="6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State of Delaware</w:t>
            </w:r>
          </w:p>
        </w:tc>
      </w:tr>
      <w:tr>
        <w:trPr>
          <w:trHeight w:val="242"/>
        </w:trPr>
        <w:tc>
          <w:tcPr>
            <w:tcW w:w="560" w:type="dxa"/>
            <w:vAlign w:val="bottom"/>
            <w:tcBorders>
              <w:left w:val="single" w:sz="8" w:color="auto"/>
            </w:tcBorders>
          </w:tcPr>
          <w:p>
            <w:pPr>
              <w:jc w:val="right"/>
              <w:spacing w:after="0" w:line="242" w:lineRule="exact"/>
              <w:rPr>
                <w:sz w:val="20"/>
                <w:szCs w:val="20"/>
                <w:color w:val="auto"/>
              </w:rPr>
            </w:pPr>
            <w:r>
              <w:rPr>
                <w:rFonts w:ascii="Arial" w:cs="Arial" w:eastAsia="Arial" w:hAnsi="Arial"/>
                <w:sz w:val="22"/>
                <w:szCs w:val="22"/>
                <w:color w:val="auto"/>
              </w:rPr>
              <w:t>8.</w:t>
            </w:r>
          </w:p>
        </w:tc>
        <w:tc>
          <w:tcPr>
            <w:tcW w:w="418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Notice Information:</w:t>
            </w:r>
          </w:p>
        </w:tc>
        <w:tc>
          <w:tcPr>
            <w:tcW w:w="6500" w:type="dxa"/>
            <w:vAlign w:val="bottom"/>
            <w:tcBorders>
              <w:right w:val="single" w:sz="8" w:color="auto"/>
            </w:tcBorders>
          </w:tcPr>
          <w:p>
            <w:pPr>
              <w:spacing w:after="0" w:line="242" w:lineRule="exact"/>
              <w:rPr>
                <w:sz w:val="20"/>
                <w:szCs w:val="20"/>
                <w:color w:val="auto"/>
              </w:rPr>
            </w:pPr>
            <w:r>
              <w:rPr>
                <w:rFonts w:ascii="Arial" w:cs="Arial" w:eastAsia="Arial" w:hAnsi="Arial"/>
                <w:sz w:val="22"/>
                <w:szCs w:val="22"/>
                <w:color w:val="auto"/>
              </w:rPr>
              <w:t>Epps Investments LLC</w:t>
            </w:r>
          </w:p>
        </w:tc>
      </w:tr>
      <w:tr>
        <w:trPr>
          <w:trHeight w:val="216"/>
        </w:trPr>
        <w:tc>
          <w:tcPr>
            <w:tcW w:w="560" w:type="dxa"/>
            <w:vAlign w:val="bottom"/>
            <w:tcBorders>
              <w:left w:val="single" w:sz="8" w:color="auto"/>
            </w:tcBorders>
          </w:tcPr>
          <w:p>
            <w:pPr>
              <w:spacing w:after="0"/>
              <w:rPr>
                <w:sz w:val="18"/>
                <w:szCs w:val="18"/>
                <w:color w:val="auto"/>
              </w:rPr>
            </w:pPr>
          </w:p>
        </w:tc>
        <w:tc>
          <w:tcPr>
            <w:tcW w:w="4180" w:type="dxa"/>
            <w:vAlign w:val="bottom"/>
            <w:tcBorders>
              <w:right w:val="single" w:sz="8" w:color="auto"/>
            </w:tcBorders>
          </w:tcPr>
          <w:p>
            <w:pPr>
              <w:spacing w:after="0"/>
              <w:rPr>
                <w:sz w:val="18"/>
                <w:szCs w:val="18"/>
                <w:color w:val="auto"/>
              </w:rPr>
            </w:pPr>
          </w:p>
        </w:tc>
        <w:tc>
          <w:tcPr>
            <w:tcW w:w="650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251 Little Falls Drive</w:t>
            </w:r>
          </w:p>
        </w:tc>
      </w:tr>
      <w:tr>
        <w:trPr>
          <w:trHeight w:val="243"/>
        </w:trPr>
        <w:tc>
          <w:tcPr>
            <w:tcW w:w="560" w:type="dxa"/>
            <w:vAlign w:val="bottom"/>
            <w:tcBorders>
              <w:left w:val="single" w:sz="8" w:color="auto"/>
            </w:tcBorders>
          </w:tcPr>
          <w:p>
            <w:pPr>
              <w:spacing w:after="0"/>
              <w:rPr>
                <w:sz w:val="21"/>
                <w:szCs w:val="21"/>
                <w:color w:val="auto"/>
              </w:rPr>
            </w:pPr>
          </w:p>
        </w:tc>
        <w:tc>
          <w:tcPr>
            <w:tcW w:w="4180" w:type="dxa"/>
            <w:vAlign w:val="bottom"/>
            <w:tcBorders>
              <w:right w:val="single" w:sz="8" w:color="auto"/>
            </w:tcBorders>
          </w:tcPr>
          <w:p>
            <w:pPr>
              <w:spacing w:after="0"/>
              <w:rPr>
                <w:sz w:val="21"/>
                <w:szCs w:val="21"/>
                <w:color w:val="auto"/>
              </w:rPr>
            </w:pPr>
          </w:p>
        </w:tc>
        <w:tc>
          <w:tcPr>
            <w:tcW w:w="650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Wilmington, DE 19808</w:t>
            </w:r>
          </w:p>
        </w:tc>
      </w:tr>
      <w:tr>
        <w:trPr>
          <w:trHeight w:val="274"/>
        </w:trPr>
        <w:tc>
          <w:tcPr>
            <w:tcW w:w="560" w:type="dxa"/>
            <w:vAlign w:val="bottom"/>
            <w:tcBorders>
              <w:left w:val="single" w:sz="8" w:color="auto"/>
            </w:tcBorders>
          </w:tcPr>
          <w:p>
            <w:pPr>
              <w:spacing w:after="0"/>
              <w:rPr>
                <w:sz w:val="23"/>
                <w:szCs w:val="23"/>
                <w:color w:val="auto"/>
              </w:rPr>
            </w:pPr>
          </w:p>
        </w:tc>
        <w:tc>
          <w:tcPr>
            <w:tcW w:w="4180" w:type="dxa"/>
            <w:vAlign w:val="bottom"/>
            <w:tcBorders>
              <w:right w:val="single" w:sz="8" w:color="auto"/>
            </w:tcBorders>
          </w:tcPr>
          <w:p>
            <w:pPr>
              <w:spacing w:after="0"/>
              <w:rPr>
                <w:sz w:val="23"/>
                <w:szCs w:val="23"/>
                <w:color w:val="auto"/>
              </w:rPr>
            </w:pPr>
          </w:p>
        </w:tc>
        <w:tc>
          <w:tcPr>
            <w:tcW w:w="65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w:t>
            </w:r>
          </w:p>
        </w:tc>
      </w:tr>
      <w:tr>
        <w:trPr>
          <w:trHeight w:val="445"/>
        </w:trPr>
        <w:tc>
          <w:tcPr>
            <w:tcW w:w="560" w:type="dxa"/>
            <w:vAlign w:val="bottom"/>
            <w:tcBorders>
              <w:left w:val="single" w:sz="8" w:color="auto"/>
            </w:tcBorders>
          </w:tcPr>
          <w:p>
            <w:pPr>
              <w:spacing w:after="0"/>
              <w:rPr>
                <w:sz w:val="24"/>
                <w:szCs w:val="24"/>
                <w:color w:val="auto"/>
              </w:rPr>
            </w:pPr>
          </w:p>
        </w:tc>
        <w:tc>
          <w:tcPr>
            <w:tcW w:w="4180" w:type="dxa"/>
            <w:vAlign w:val="bottom"/>
            <w:tcBorders>
              <w:right w:val="single" w:sz="8" w:color="auto"/>
            </w:tcBorders>
          </w:tcPr>
          <w:p>
            <w:pPr>
              <w:spacing w:after="0"/>
              <w:rPr>
                <w:sz w:val="24"/>
                <w:szCs w:val="24"/>
                <w:color w:val="auto"/>
              </w:rPr>
            </w:pPr>
          </w:p>
        </w:tc>
        <w:tc>
          <w:tcPr>
            <w:tcW w:w="65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Attn: Manager</w:t>
            </w:r>
          </w:p>
        </w:tc>
      </w:tr>
      <w:tr>
        <w:trPr>
          <w:trHeight w:val="246"/>
        </w:trPr>
        <w:tc>
          <w:tcPr>
            <w:tcW w:w="560" w:type="dxa"/>
            <w:vAlign w:val="bottom"/>
            <w:tcBorders>
              <w:left w:val="single" w:sz="8" w:color="auto"/>
              <w:bottom w:val="single" w:sz="8" w:color="auto"/>
            </w:tcBorders>
          </w:tcPr>
          <w:p>
            <w:pPr>
              <w:spacing w:after="0"/>
              <w:rPr>
                <w:sz w:val="21"/>
                <w:szCs w:val="21"/>
                <w:color w:val="auto"/>
              </w:rPr>
            </w:pPr>
          </w:p>
        </w:tc>
        <w:tc>
          <w:tcPr>
            <w:tcW w:w="4180" w:type="dxa"/>
            <w:vAlign w:val="bottom"/>
            <w:tcBorders>
              <w:bottom w:val="single" w:sz="8" w:color="auto"/>
              <w:right w:val="single" w:sz="8" w:color="auto"/>
            </w:tcBorders>
          </w:tcPr>
          <w:p>
            <w:pPr>
              <w:spacing w:after="0"/>
              <w:rPr>
                <w:sz w:val="21"/>
                <w:szCs w:val="21"/>
                <w:color w:val="auto"/>
              </w:rPr>
            </w:pPr>
          </w:p>
        </w:tc>
        <w:tc>
          <w:tcPr>
            <w:tcW w:w="65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260"/>
        <w:spacing w:after="0"/>
        <w:rPr>
          <w:sz w:val="20"/>
          <w:szCs w:val="20"/>
          <w:color w:val="auto"/>
        </w:rPr>
      </w:pPr>
      <w:r>
        <w:rPr>
          <w:rFonts w:ascii="Arial" w:cs="Arial" w:eastAsia="Arial" w:hAnsi="Arial"/>
          <w:sz w:val="13"/>
          <w:szCs w:val="13"/>
          <w:color w:val="auto"/>
        </w:rPr>
        <w:t>Annex I - Page 1</w:t>
      </w:r>
    </w:p>
    <w:p>
      <w:pPr>
        <w:sectPr>
          <w:pgSz w:w="11900" w:h="16838" w:orient="portrait"/>
          <w:cols w:equalWidth="0" w:num="1">
            <w:col w:w="11240"/>
          </w:cols>
          <w:pgMar w:left="320" w:top="1422"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2"/>
          <w:szCs w:val="22"/>
          <w:b w:val="1"/>
          <w:bCs w:val="1"/>
          <w:color w:val="auto"/>
        </w:rPr>
        <w:t>Annex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39262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2">
                      <a:extLst>
                        <a:ext uri="{28A0092B-C50C-407E-A947-70E740481C1C}"/>
                      </a:extLst>
                    </a:blip>
                    <a:srcRect/>
                    <a:stretch>
                      <a:fillRect/>
                    </a:stretch>
                  </pic:blipFill>
                  <pic:spPr bwMode="auto">
                    <a:xfrm>
                      <a:off x="0" y="0"/>
                      <a:ext cx="713232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560" w:right="40" w:hanging="2521"/>
        <w:spacing w:after="0" w:line="254" w:lineRule="auto"/>
        <w:tabs>
          <w:tab w:leader="none" w:pos="265"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Description of the Claim: The consolidated actions styled </w:t>
      </w:r>
      <w:r>
        <w:rPr>
          <w:rFonts w:ascii="Arial" w:cs="Arial" w:eastAsia="Arial" w:hAnsi="Arial"/>
          <w:sz w:val="22"/>
          <w:szCs w:val="22"/>
          <w:i w:val="1"/>
          <w:iCs w:val="1"/>
          <w:color w:val="auto"/>
        </w:rPr>
        <w:t>PDL BioPharma, Inc. v. Samuel Wohlstadter et al</w:t>
      </w:r>
      <w:r>
        <w:rPr>
          <w:rFonts w:ascii="Arial" w:cs="Arial" w:eastAsia="Arial" w:hAnsi="Arial"/>
          <w:sz w:val="22"/>
          <w:szCs w:val="22"/>
          <w:color w:val="auto"/>
        </w:rPr>
        <w:t xml:space="preserve">., Index No. 653028/2015 (Sup Ct, NY County) and </w:t>
      </w:r>
      <w:r>
        <w:rPr>
          <w:rFonts w:ascii="Arial" w:cs="Arial" w:eastAsia="Arial" w:hAnsi="Arial"/>
          <w:sz w:val="22"/>
          <w:szCs w:val="22"/>
          <w:i w:val="1"/>
          <w:iCs w:val="1"/>
          <w:color w:val="auto"/>
        </w:rPr>
        <w:t>Samuel Wohlstadter et al. v. PDL BioPharma, Inc.</w:t>
      </w:r>
      <w:r>
        <w:rPr>
          <w:rFonts w:ascii="Arial" w:cs="Arial" w:eastAsia="Arial" w:hAnsi="Arial"/>
          <w:sz w:val="22"/>
          <w:szCs w:val="22"/>
          <w:color w:val="auto"/>
        </w:rPr>
        <w:t>, Index No. 653512/2015 (Sup Ct NY County) and any claims of the Counterparty arising out of or related to the conduct alleged in such actions, subject in all instances to the resolution thereof contained in the Settlement Agreement.</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20" w:type="dxa"/>
            <w:vAlign w:val="bottom"/>
          </w:tcPr>
          <w:p>
            <w:pPr>
              <w:spacing w:after="0"/>
              <w:rPr>
                <w:sz w:val="22"/>
                <w:szCs w:val="22"/>
                <w:color w:val="auto"/>
              </w:rPr>
            </w:pPr>
          </w:p>
        </w:tc>
        <w:tc>
          <w:tcPr>
            <w:tcW w:w="8820" w:type="dxa"/>
            <w:vAlign w:val="bottom"/>
          </w:tcPr>
          <w:p>
            <w:pPr>
              <w:ind w:left="140"/>
              <w:spacing w:after="0"/>
              <w:rPr>
                <w:sz w:val="20"/>
                <w:szCs w:val="20"/>
                <w:color w:val="auto"/>
              </w:rPr>
            </w:pPr>
            <w:r>
              <w:rPr>
                <w:rFonts w:ascii="Arial" w:cs="Arial" w:eastAsia="Arial" w:hAnsi="Arial"/>
                <w:sz w:val="22"/>
                <w:szCs w:val="22"/>
                <w:color w:val="auto"/>
                <w:w w:val="93"/>
              </w:rPr>
              <w:t>The Claim also includes any variations or expansions of the above claims by the addition of any</w:t>
            </w:r>
          </w:p>
        </w:tc>
      </w:tr>
      <w:tr>
        <w:trPr>
          <w:trHeight w:val="257"/>
        </w:trPr>
        <w:tc>
          <w:tcPr>
            <w:tcW w:w="2420" w:type="dxa"/>
            <w:vAlign w:val="bottom"/>
          </w:tcPr>
          <w:p>
            <w:pPr>
              <w:spacing w:after="0"/>
              <w:rPr>
                <w:sz w:val="22"/>
                <w:szCs w:val="22"/>
                <w:color w:val="auto"/>
              </w:rPr>
            </w:pPr>
          </w:p>
        </w:tc>
        <w:tc>
          <w:tcPr>
            <w:tcW w:w="8820" w:type="dxa"/>
            <w:vAlign w:val="bottom"/>
          </w:tcPr>
          <w:p>
            <w:pPr>
              <w:ind w:left="780"/>
              <w:spacing w:after="0"/>
              <w:rPr>
                <w:sz w:val="20"/>
                <w:szCs w:val="20"/>
                <w:color w:val="auto"/>
              </w:rPr>
            </w:pPr>
            <w:r>
              <w:rPr>
                <w:rFonts w:ascii="Arial" w:cs="Arial" w:eastAsia="Arial" w:hAnsi="Arial"/>
                <w:sz w:val="22"/>
                <w:szCs w:val="22"/>
                <w:color w:val="auto"/>
                <w:w w:val="93"/>
              </w:rPr>
              <w:t>claims and/or parties from time to time, including the following (subject in all instances to</w:t>
            </w:r>
          </w:p>
        </w:tc>
      </w:tr>
      <w:tr>
        <w:trPr>
          <w:trHeight w:val="274"/>
        </w:trPr>
        <w:tc>
          <w:tcPr>
            <w:tcW w:w="2420" w:type="dxa"/>
            <w:vAlign w:val="bottom"/>
          </w:tcPr>
          <w:p>
            <w:pPr>
              <w:spacing w:after="0"/>
              <w:rPr>
                <w:sz w:val="23"/>
                <w:szCs w:val="23"/>
                <w:color w:val="auto"/>
              </w:rPr>
            </w:pPr>
          </w:p>
        </w:tc>
        <w:tc>
          <w:tcPr>
            <w:tcW w:w="8820" w:type="dxa"/>
            <w:vAlign w:val="bottom"/>
          </w:tcPr>
          <w:p>
            <w:pPr>
              <w:ind w:left="780"/>
              <w:spacing w:after="0"/>
              <w:rPr>
                <w:sz w:val="20"/>
                <w:szCs w:val="20"/>
                <w:color w:val="auto"/>
              </w:rPr>
            </w:pPr>
            <w:r>
              <w:rPr>
                <w:rFonts w:ascii="Arial" w:cs="Arial" w:eastAsia="Arial" w:hAnsi="Arial"/>
                <w:sz w:val="22"/>
                <w:szCs w:val="22"/>
                <w:color w:val="auto"/>
              </w:rPr>
              <w:t>the resolution thereof contained in the Settlement Agreement):</w:t>
            </w:r>
          </w:p>
        </w:tc>
      </w:tr>
      <w:tr>
        <w:trPr>
          <w:trHeight w:val="446"/>
        </w:trPr>
        <w:tc>
          <w:tcPr>
            <w:tcW w:w="2420" w:type="dxa"/>
            <w:vAlign w:val="bottom"/>
          </w:tcPr>
          <w:p>
            <w:pPr>
              <w:spacing w:after="0"/>
              <w:rPr>
                <w:sz w:val="24"/>
                <w:szCs w:val="24"/>
                <w:color w:val="auto"/>
              </w:rPr>
            </w:pPr>
          </w:p>
        </w:tc>
        <w:tc>
          <w:tcPr>
            <w:tcW w:w="8820" w:type="dxa"/>
            <w:vAlign w:val="bottom"/>
          </w:tcPr>
          <w:p>
            <w:pPr>
              <w:ind w:left="140"/>
              <w:spacing w:after="0"/>
              <w:rPr>
                <w:sz w:val="20"/>
                <w:szCs w:val="20"/>
                <w:color w:val="auto"/>
              </w:rPr>
            </w:pPr>
            <w:r>
              <w:rPr>
                <w:rFonts w:ascii="Arial" w:cs="Arial" w:eastAsia="Arial" w:hAnsi="Arial"/>
                <w:sz w:val="22"/>
                <w:szCs w:val="22"/>
                <w:color w:val="auto"/>
              </w:rPr>
              <w:t>[***]</w:t>
            </w:r>
          </w:p>
        </w:tc>
      </w:tr>
      <w:tr>
        <w:trPr>
          <w:trHeight w:val="516"/>
        </w:trPr>
        <w:tc>
          <w:tcPr>
            <w:tcW w:w="24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spacing w:after="0"/>
              <w:rPr>
                <w:sz w:val="24"/>
                <w:szCs w:val="24"/>
                <w:color w:val="auto"/>
              </w:rPr>
            </w:pPr>
          </w:p>
        </w:tc>
      </w:tr>
      <w:tr>
        <w:trPr>
          <w:trHeight w:val="202"/>
        </w:trPr>
        <w:tc>
          <w:tcPr>
            <w:tcW w:w="2420" w:type="dxa"/>
            <w:vAlign w:val="bottom"/>
          </w:tcPr>
          <w:p>
            <w:pPr>
              <w:ind w:left="40"/>
              <w:spacing w:after="0" w:line="202" w:lineRule="exact"/>
              <w:rPr>
                <w:sz w:val="20"/>
                <w:szCs w:val="20"/>
                <w:color w:val="auto"/>
              </w:rPr>
            </w:pPr>
            <w:r>
              <w:rPr>
                <w:rFonts w:ascii="Arial" w:cs="Arial" w:eastAsia="Arial" w:hAnsi="Arial"/>
                <w:sz w:val="22"/>
                <w:szCs w:val="22"/>
                <w:color w:val="auto"/>
                <w:w w:val="96"/>
              </w:rPr>
              <w:t>2. Settlement Agreement</w:t>
            </w:r>
          </w:p>
        </w:tc>
        <w:tc>
          <w:tcPr>
            <w:tcW w:w="8820" w:type="dxa"/>
            <w:vAlign w:val="bottom"/>
          </w:tcPr>
          <w:p>
            <w:pPr>
              <w:ind w:left="140"/>
              <w:spacing w:after="0" w:line="202" w:lineRule="exact"/>
              <w:rPr>
                <w:sz w:val="20"/>
                <w:szCs w:val="20"/>
                <w:color w:val="auto"/>
              </w:rPr>
            </w:pPr>
            <w:r>
              <w:rPr>
                <w:rFonts w:ascii="Arial" w:cs="Arial" w:eastAsia="Arial" w:hAnsi="Arial"/>
                <w:sz w:val="22"/>
                <w:szCs w:val="22"/>
                <w:color w:val="auto"/>
                <w:w w:val="93"/>
              </w:rPr>
              <w:t>Notwithstanding anything else contained in the definition of the “Claim” or in the Agreement, the</w:t>
            </w:r>
          </w:p>
        </w:tc>
      </w:tr>
      <w:tr>
        <w:trPr>
          <w:trHeight w:val="216"/>
        </w:trPr>
        <w:tc>
          <w:tcPr>
            <w:tcW w:w="2420" w:type="dxa"/>
            <w:vAlign w:val="bottom"/>
          </w:tcPr>
          <w:p>
            <w:pPr>
              <w:spacing w:after="0"/>
              <w:rPr>
                <w:sz w:val="18"/>
                <w:szCs w:val="18"/>
                <w:color w:val="auto"/>
              </w:rPr>
            </w:pPr>
          </w:p>
        </w:tc>
        <w:tc>
          <w:tcPr>
            <w:tcW w:w="8820" w:type="dxa"/>
            <w:vAlign w:val="bottom"/>
          </w:tcPr>
          <w:p>
            <w:pPr>
              <w:ind w:left="140"/>
              <w:spacing w:after="0" w:line="216" w:lineRule="exact"/>
              <w:rPr>
                <w:sz w:val="20"/>
                <w:szCs w:val="20"/>
                <w:color w:val="auto"/>
              </w:rPr>
            </w:pPr>
            <w:r>
              <w:rPr>
                <w:rFonts w:ascii="Arial" w:cs="Arial" w:eastAsia="Arial" w:hAnsi="Arial"/>
                <w:sz w:val="22"/>
                <w:szCs w:val="22"/>
                <w:color w:val="auto"/>
                <w:w w:val="93"/>
              </w:rPr>
              <w:t>Claim includes all of the Counterparty’s rights against the Adverse Parties, including all rights of</w:t>
            </w:r>
          </w:p>
        </w:tc>
      </w:tr>
      <w:tr>
        <w:trPr>
          <w:trHeight w:val="216"/>
        </w:trPr>
        <w:tc>
          <w:tcPr>
            <w:tcW w:w="2420" w:type="dxa"/>
            <w:vAlign w:val="bottom"/>
          </w:tcPr>
          <w:p>
            <w:pPr>
              <w:spacing w:after="0"/>
              <w:rPr>
                <w:sz w:val="18"/>
                <w:szCs w:val="18"/>
                <w:color w:val="auto"/>
              </w:rPr>
            </w:pPr>
          </w:p>
        </w:tc>
        <w:tc>
          <w:tcPr>
            <w:tcW w:w="8820" w:type="dxa"/>
            <w:vAlign w:val="bottom"/>
          </w:tcPr>
          <w:p>
            <w:pPr>
              <w:ind w:left="140"/>
              <w:spacing w:after="0" w:line="216" w:lineRule="exact"/>
              <w:rPr>
                <w:sz w:val="20"/>
                <w:szCs w:val="20"/>
                <w:color w:val="auto"/>
              </w:rPr>
            </w:pPr>
            <w:r>
              <w:rPr>
                <w:rFonts w:ascii="Arial" w:cs="Arial" w:eastAsia="Arial" w:hAnsi="Arial"/>
                <w:sz w:val="22"/>
                <w:szCs w:val="22"/>
                <w:color w:val="auto"/>
                <w:w w:val="97"/>
              </w:rPr>
              <w:t>the Counterparty under the Settlement Agreement, which settles the disputes regarding the</w:t>
            </w:r>
          </w:p>
        </w:tc>
      </w:tr>
      <w:tr>
        <w:trPr>
          <w:trHeight w:val="216"/>
        </w:trPr>
        <w:tc>
          <w:tcPr>
            <w:tcW w:w="2420" w:type="dxa"/>
            <w:vAlign w:val="bottom"/>
          </w:tcPr>
          <w:p>
            <w:pPr>
              <w:spacing w:after="0"/>
              <w:rPr>
                <w:sz w:val="18"/>
                <w:szCs w:val="18"/>
                <w:color w:val="auto"/>
              </w:rPr>
            </w:pPr>
          </w:p>
        </w:tc>
        <w:tc>
          <w:tcPr>
            <w:tcW w:w="8820" w:type="dxa"/>
            <w:vAlign w:val="bottom"/>
          </w:tcPr>
          <w:p>
            <w:pPr>
              <w:ind w:left="140"/>
              <w:spacing w:after="0" w:line="216" w:lineRule="exact"/>
              <w:rPr>
                <w:sz w:val="20"/>
                <w:szCs w:val="20"/>
                <w:color w:val="auto"/>
              </w:rPr>
            </w:pPr>
            <w:r>
              <w:rPr>
                <w:rFonts w:ascii="Arial" w:cs="Arial" w:eastAsia="Arial" w:hAnsi="Arial"/>
                <w:sz w:val="22"/>
                <w:szCs w:val="22"/>
                <w:color w:val="auto"/>
                <w:w w:val="90"/>
              </w:rPr>
              <w:t>Counterparty’s rights being litigated in the foregoing actions and the Counterparty’s rights under all</w:t>
            </w:r>
          </w:p>
        </w:tc>
      </w:tr>
      <w:tr>
        <w:trPr>
          <w:trHeight w:val="216"/>
        </w:trPr>
        <w:tc>
          <w:tcPr>
            <w:tcW w:w="2420" w:type="dxa"/>
            <w:vAlign w:val="bottom"/>
          </w:tcPr>
          <w:p>
            <w:pPr>
              <w:spacing w:after="0"/>
              <w:rPr>
                <w:sz w:val="18"/>
                <w:szCs w:val="18"/>
                <w:color w:val="auto"/>
              </w:rPr>
            </w:pPr>
          </w:p>
        </w:tc>
        <w:tc>
          <w:tcPr>
            <w:tcW w:w="8820" w:type="dxa"/>
            <w:vAlign w:val="bottom"/>
          </w:tcPr>
          <w:p>
            <w:pPr>
              <w:ind w:left="140"/>
              <w:spacing w:after="0" w:line="216" w:lineRule="exact"/>
              <w:rPr>
                <w:sz w:val="20"/>
                <w:szCs w:val="20"/>
                <w:color w:val="auto"/>
              </w:rPr>
            </w:pPr>
            <w:r>
              <w:rPr>
                <w:rFonts w:ascii="Arial" w:cs="Arial" w:eastAsia="Arial" w:hAnsi="Arial"/>
                <w:sz w:val="22"/>
                <w:szCs w:val="22"/>
                <w:color w:val="auto"/>
                <w:w w:val="93"/>
              </w:rPr>
              <w:t>of the PDL/Wellstat Documents, and reaffirms the Counterparty’s rights under the PDL/Wellstat</w:t>
            </w:r>
          </w:p>
        </w:tc>
      </w:tr>
      <w:tr>
        <w:trPr>
          <w:trHeight w:val="216"/>
        </w:trPr>
        <w:tc>
          <w:tcPr>
            <w:tcW w:w="2420" w:type="dxa"/>
            <w:vAlign w:val="bottom"/>
          </w:tcPr>
          <w:p>
            <w:pPr>
              <w:spacing w:after="0"/>
              <w:rPr>
                <w:sz w:val="18"/>
                <w:szCs w:val="18"/>
                <w:color w:val="auto"/>
              </w:rPr>
            </w:pPr>
          </w:p>
        </w:tc>
        <w:tc>
          <w:tcPr>
            <w:tcW w:w="8820" w:type="dxa"/>
            <w:vAlign w:val="bottom"/>
          </w:tcPr>
          <w:p>
            <w:pPr>
              <w:ind w:left="140"/>
              <w:spacing w:after="0" w:line="216" w:lineRule="exact"/>
              <w:rPr>
                <w:sz w:val="20"/>
                <w:szCs w:val="20"/>
                <w:color w:val="auto"/>
              </w:rPr>
            </w:pPr>
            <w:r>
              <w:rPr>
                <w:rFonts w:ascii="Arial" w:cs="Arial" w:eastAsia="Arial" w:hAnsi="Arial"/>
                <w:sz w:val="22"/>
                <w:szCs w:val="22"/>
                <w:color w:val="auto"/>
                <w:w w:val="95"/>
              </w:rPr>
              <w:t>Collateral Documents, as such rights are settled, resolved and modified under the Settlement</w:t>
            </w:r>
          </w:p>
        </w:tc>
      </w:tr>
      <w:tr>
        <w:trPr>
          <w:trHeight w:val="276"/>
        </w:trPr>
        <w:tc>
          <w:tcPr>
            <w:tcW w:w="242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Agreement.</w:t>
            </w:r>
          </w:p>
        </w:tc>
      </w:tr>
      <w:tr>
        <w:trPr>
          <w:trHeight w:val="225"/>
        </w:trPr>
        <w:tc>
          <w:tcPr>
            <w:tcW w:w="2420" w:type="dxa"/>
            <w:vAlign w:val="bottom"/>
          </w:tcPr>
          <w:p>
            <w:pPr>
              <w:ind w:left="40"/>
              <w:spacing w:after="0" w:line="225" w:lineRule="exact"/>
              <w:rPr>
                <w:sz w:val="20"/>
                <w:szCs w:val="20"/>
                <w:color w:val="auto"/>
              </w:rPr>
            </w:pPr>
            <w:r>
              <w:rPr>
                <w:rFonts w:ascii="Arial" w:cs="Arial" w:eastAsia="Arial" w:hAnsi="Arial"/>
                <w:sz w:val="22"/>
                <w:szCs w:val="22"/>
                <w:color w:val="auto"/>
                <w:w w:val="92"/>
              </w:rPr>
              <w:t>3. Payment account of the</w:t>
            </w:r>
          </w:p>
        </w:tc>
        <w:tc>
          <w:tcPr>
            <w:tcW w:w="8820" w:type="dxa"/>
            <w:vAlign w:val="bottom"/>
          </w:tcPr>
          <w:p>
            <w:pPr>
              <w:ind w:left="140"/>
              <w:spacing w:after="0" w:line="225" w:lineRule="exact"/>
              <w:rPr>
                <w:sz w:val="20"/>
                <w:szCs w:val="20"/>
                <w:color w:val="auto"/>
              </w:rPr>
            </w:pPr>
            <w:r>
              <w:rPr>
                <w:rFonts w:ascii="Arial" w:cs="Arial" w:eastAsia="Arial" w:hAnsi="Arial"/>
                <w:sz w:val="22"/>
                <w:szCs w:val="22"/>
                <w:color w:val="auto"/>
              </w:rPr>
              <w:t>Beneficiary: PDL BioPharma, Inc.</w:t>
            </w:r>
          </w:p>
        </w:tc>
      </w:tr>
      <w:tr>
        <w:trPr>
          <w:trHeight w:val="235"/>
        </w:trPr>
        <w:tc>
          <w:tcPr>
            <w:tcW w:w="2420" w:type="dxa"/>
            <w:vAlign w:val="bottom"/>
          </w:tcPr>
          <w:p>
            <w:pPr>
              <w:ind w:left="200"/>
              <w:spacing w:after="0" w:line="234" w:lineRule="exact"/>
              <w:rPr>
                <w:sz w:val="20"/>
                <w:szCs w:val="20"/>
                <w:color w:val="auto"/>
              </w:rPr>
            </w:pPr>
            <w:r>
              <w:rPr>
                <w:rFonts w:ascii="Arial" w:cs="Arial" w:eastAsia="Arial" w:hAnsi="Arial"/>
                <w:sz w:val="22"/>
                <w:szCs w:val="22"/>
                <w:color w:val="auto"/>
              </w:rPr>
              <w:t>Counterparty:</w:t>
            </w:r>
          </w:p>
        </w:tc>
        <w:tc>
          <w:tcPr>
            <w:tcW w:w="8820" w:type="dxa"/>
            <w:vAlign w:val="bottom"/>
          </w:tcPr>
          <w:p>
            <w:pPr>
              <w:ind w:left="140"/>
              <w:spacing w:after="0" w:line="234" w:lineRule="exact"/>
              <w:rPr>
                <w:sz w:val="20"/>
                <w:szCs w:val="20"/>
                <w:color w:val="auto"/>
              </w:rPr>
            </w:pPr>
            <w:r>
              <w:rPr>
                <w:rFonts w:ascii="Arial" w:cs="Arial" w:eastAsia="Arial" w:hAnsi="Arial"/>
                <w:sz w:val="22"/>
                <w:szCs w:val="22"/>
                <w:color w:val="auto"/>
              </w:rPr>
              <w:t>Address: 932 Southwood Blvd</w:t>
            </w:r>
          </w:p>
        </w:tc>
      </w:tr>
      <w:tr>
        <w:trPr>
          <w:trHeight w:val="216"/>
        </w:trPr>
        <w:tc>
          <w:tcPr>
            <w:tcW w:w="2420" w:type="dxa"/>
            <w:vAlign w:val="bottom"/>
          </w:tcPr>
          <w:p>
            <w:pPr>
              <w:spacing w:after="0"/>
              <w:rPr>
                <w:sz w:val="18"/>
                <w:szCs w:val="18"/>
                <w:color w:val="auto"/>
              </w:rPr>
            </w:pPr>
          </w:p>
        </w:tc>
        <w:tc>
          <w:tcPr>
            <w:tcW w:w="8820" w:type="dxa"/>
            <w:vAlign w:val="bottom"/>
          </w:tcPr>
          <w:p>
            <w:pPr>
              <w:ind w:left="140"/>
              <w:spacing w:after="0" w:line="216" w:lineRule="exact"/>
              <w:rPr>
                <w:sz w:val="20"/>
                <w:szCs w:val="20"/>
                <w:color w:val="auto"/>
              </w:rPr>
            </w:pPr>
            <w:r>
              <w:rPr>
                <w:rFonts w:ascii="Arial" w:cs="Arial" w:eastAsia="Arial" w:hAnsi="Arial"/>
                <w:sz w:val="22"/>
                <w:szCs w:val="22"/>
                <w:color w:val="auto"/>
              </w:rPr>
              <w:t>Incline Village, NV 89451</w:t>
            </w:r>
          </w:p>
        </w:tc>
      </w:tr>
      <w:tr>
        <w:trPr>
          <w:trHeight w:val="274"/>
        </w:trPr>
        <w:tc>
          <w:tcPr>
            <w:tcW w:w="2420" w:type="dxa"/>
            <w:vAlign w:val="bottom"/>
          </w:tcPr>
          <w:p>
            <w:pPr>
              <w:spacing w:after="0"/>
              <w:rPr>
                <w:sz w:val="23"/>
                <w:szCs w:val="23"/>
                <w:color w:val="auto"/>
              </w:rPr>
            </w:pPr>
          </w:p>
        </w:tc>
        <w:tc>
          <w:tcPr>
            <w:tcW w:w="8820" w:type="dxa"/>
            <w:vAlign w:val="bottom"/>
          </w:tcPr>
          <w:p>
            <w:pPr>
              <w:ind w:left="140"/>
              <w:spacing w:after="0"/>
              <w:rPr>
                <w:sz w:val="20"/>
                <w:szCs w:val="20"/>
                <w:color w:val="auto"/>
              </w:rPr>
            </w:pPr>
            <w:r>
              <w:rPr>
                <w:rFonts w:ascii="Arial" w:cs="Arial" w:eastAsia="Arial" w:hAnsi="Arial"/>
                <w:sz w:val="22"/>
                <w:szCs w:val="22"/>
                <w:color w:val="auto"/>
              </w:rPr>
              <w:t>[***]</w:t>
            </w:r>
          </w:p>
        </w:tc>
      </w:tr>
    </w:tbl>
    <w:p>
      <w:pPr>
        <w:sectPr>
          <w:pgSz w:w="11900" w:h="16838" w:orient="portrait"/>
          <w:cols w:equalWidth="0" w:num="1">
            <w:col w:w="11240"/>
          </w:cols>
          <w:pgMar w:left="320" w:top="1422" w:right="339" w:bottom="1440" w:gutter="0" w:footer="0" w:header="0"/>
        </w:sectPr>
      </w:pPr>
    </w:p>
    <w:bookmarkStart w:id="178" w:name="page179"/>
    <w:bookmarkEnd w:id="17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540" w:type="dxa"/>
            <w:vAlign w:val="bottom"/>
            <w:tcBorders>
              <w:top w:val="single" w:sz="8" w:color="auto"/>
              <w:left w:val="single" w:sz="8" w:color="auto"/>
              <w:right w:val="single" w:sz="8" w:color="auto"/>
            </w:tcBorders>
          </w:tcPr>
          <w:p>
            <w:pPr>
              <w:ind w:left="40"/>
              <w:spacing w:after="0" w:line="222" w:lineRule="exact"/>
              <w:rPr>
                <w:sz w:val="20"/>
                <w:szCs w:val="20"/>
                <w:color w:val="auto"/>
              </w:rPr>
            </w:pPr>
            <w:r>
              <w:rPr>
                <w:rFonts w:ascii="Arial" w:cs="Arial" w:eastAsia="Arial" w:hAnsi="Arial"/>
                <w:sz w:val="22"/>
                <w:szCs w:val="22"/>
                <w:color w:val="auto"/>
                <w:w w:val="96"/>
              </w:rPr>
              <w:t>4. Payment account of the</w:t>
            </w:r>
          </w:p>
        </w:tc>
        <w:tc>
          <w:tcPr>
            <w:tcW w:w="8700" w:type="dxa"/>
            <w:vAlign w:val="bottom"/>
            <w:tcBorders>
              <w:top w:val="single" w:sz="8" w:color="auto"/>
              <w:right w:val="single" w:sz="8" w:color="auto"/>
            </w:tcBorders>
          </w:tcPr>
          <w:p>
            <w:pPr>
              <w:ind w:left="20"/>
              <w:spacing w:after="0" w:line="222" w:lineRule="exact"/>
              <w:rPr>
                <w:sz w:val="20"/>
                <w:szCs w:val="20"/>
                <w:color w:val="auto"/>
              </w:rPr>
            </w:pPr>
            <w:r>
              <w:rPr>
                <w:rFonts w:ascii="Arial" w:cs="Arial" w:eastAsia="Arial" w:hAnsi="Arial"/>
                <w:sz w:val="22"/>
                <w:szCs w:val="22"/>
                <w:color w:val="auto"/>
              </w:rPr>
              <w:t>To be provided in writing.</w:t>
            </w:r>
          </w:p>
        </w:tc>
      </w:tr>
      <w:tr>
        <w:trPr>
          <w:trHeight w:val="276"/>
        </w:trPr>
        <w:tc>
          <w:tcPr>
            <w:tcW w:w="25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Capital Provider:</w:t>
            </w:r>
          </w:p>
        </w:tc>
        <w:tc>
          <w:tcPr>
            <w:tcW w:w="8700" w:type="dxa"/>
            <w:vAlign w:val="bottom"/>
            <w:tcBorders>
              <w:bottom w:val="single" w:sz="8" w:color="auto"/>
              <w:right w:val="single" w:sz="8" w:color="auto"/>
            </w:tcBorders>
          </w:tcPr>
          <w:p>
            <w:pPr>
              <w:spacing w:after="0"/>
              <w:rPr>
                <w:sz w:val="24"/>
                <w:szCs w:val="24"/>
                <w:color w:val="auto"/>
              </w:rPr>
            </w:pPr>
          </w:p>
        </w:tc>
      </w:tr>
      <w:tr>
        <w:trPr>
          <w:trHeight w:val="225"/>
        </w:trPr>
        <w:tc>
          <w:tcPr>
            <w:tcW w:w="2540" w:type="dxa"/>
            <w:vAlign w:val="bottom"/>
            <w:tcBorders>
              <w:left w:val="single" w:sz="8" w:color="auto"/>
              <w:right w:val="single" w:sz="8" w:color="auto"/>
            </w:tcBorders>
          </w:tcPr>
          <w:p>
            <w:pPr>
              <w:ind w:left="40"/>
              <w:spacing w:after="0" w:line="225" w:lineRule="exact"/>
              <w:rPr>
                <w:sz w:val="20"/>
                <w:szCs w:val="20"/>
                <w:color w:val="auto"/>
              </w:rPr>
            </w:pPr>
            <w:r>
              <w:rPr>
                <w:rFonts w:ascii="Arial" w:cs="Arial" w:eastAsia="Arial" w:hAnsi="Arial"/>
                <w:sz w:val="22"/>
                <w:szCs w:val="22"/>
                <w:color w:val="auto"/>
              </w:rPr>
              <w:t>5. Identity of the Adverse</w:t>
            </w:r>
          </w:p>
        </w:tc>
        <w:tc>
          <w:tcPr>
            <w:tcW w:w="8700" w:type="dxa"/>
            <w:vAlign w:val="bottom"/>
            <w:tcBorders>
              <w:right w:val="single" w:sz="8" w:color="auto"/>
            </w:tcBorders>
          </w:tcPr>
          <w:p>
            <w:pPr>
              <w:ind w:left="20"/>
              <w:spacing w:after="0" w:line="225" w:lineRule="exact"/>
              <w:rPr>
                <w:sz w:val="20"/>
                <w:szCs w:val="20"/>
                <w:color w:val="auto"/>
              </w:rPr>
            </w:pPr>
            <w:r>
              <w:rPr>
                <w:rFonts w:ascii="Arial" w:cs="Arial" w:eastAsia="Arial" w:hAnsi="Arial"/>
                <w:sz w:val="22"/>
                <w:szCs w:val="22"/>
                <w:color w:val="auto"/>
              </w:rPr>
              <w:t>Defined Diagnostics, LLC (f/k/a Wellstat Diagnostics, LLC)</w:t>
            </w:r>
          </w:p>
        </w:tc>
      </w:tr>
      <w:tr>
        <w:trPr>
          <w:trHeight w:val="303"/>
        </w:trPr>
        <w:tc>
          <w:tcPr>
            <w:tcW w:w="25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Party:</w:t>
            </w: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Samuel J. Wohlstadter</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Nadine H. Wohlstadter</w:t>
            </w:r>
          </w:p>
        </w:tc>
      </w:tr>
      <w:tr>
        <w:trPr>
          <w:trHeight w:val="256"/>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Hyperion Catalysis International</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Wellstat Vaccines, LLC</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Wellstat ImmunoTherapeutics, LLC</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Wellstat BioCatalysis, LLC</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Wellstat AVT Investment, LLC</w:t>
            </w:r>
          </w:p>
        </w:tc>
      </w:tr>
      <w:tr>
        <w:trPr>
          <w:trHeight w:val="256"/>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Wellstat Biologics Corporation</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Wellstat Management Company, LLC</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Wellstat Ophthalmics Corporation</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Wellstat Therapeutics Corporation</w:t>
            </w:r>
          </w:p>
        </w:tc>
      </w:tr>
      <w:tr>
        <w:trPr>
          <w:trHeight w:val="256"/>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Wellstat Therapeutics EU Limited</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Duck Farm, Inc.</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Hebron Valley Farms, Inc.</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HVF, Inc.</w:t>
            </w:r>
          </w:p>
        </w:tc>
      </w:tr>
      <w:tr>
        <w:trPr>
          <w:trHeight w:val="256"/>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Hyperion Catalysis EU Limited</w:t>
            </w:r>
          </w:p>
        </w:tc>
      </w:tr>
      <w:tr>
        <w:trPr>
          <w:trHeight w:val="257"/>
        </w:trPr>
        <w:tc>
          <w:tcPr>
            <w:tcW w:w="254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NHW, LLC</w:t>
            </w:r>
          </w:p>
        </w:tc>
      </w:tr>
      <w:tr>
        <w:trPr>
          <w:trHeight w:val="274"/>
        </w:trPr>
        <w:tc>
          <w:tcPr>
            <w:tcW w:w="254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SJW Properties, Inc.</w:t>
            </w:r>
          </w:p>
        </w:tc>
      </w:tr>
      <w:tr>
        <w:trPr>
          <w:trHeight w:val="273"/>
        </w:trPr>
        <w:tc>
          <w:tcPr>
            <w:tcW w:w="2540" w:type="dxa"/>
            <w:vAlign w:val="bottom"/>
            <w:tcBorders>
              <w:left w:val="single" w:sz="8" w:color="auto"/>
              <w:bottom w:val="single" w:sz="8" w:color="auto"/>
              <w:right w:val="single" w:sz="8" w:color="auto"/>
            </w:tcBorders>
          </w:tcPr>
          <w:p>
            <w:pPr>
              <w:spacing w:after="0"/>
              <w:rPr>
                <w:sz w:val="23"/>
                <w:szCs w:val="23"/>
                <w:color w:val="auto"/>
              </w:rPr>
            </w:pPr>
          </w:p>
        </w:tc>
        <w:tc>
          <w:tcPr>
            <w:tcW w:w="8700" w:type="dxa"/>
            <w:vAlign w:val="bottom"/>
            <w:tcBorders>
              <w:bottom w:val="single" w:sz="8" w:color="auto"/>
              <w:right w:val="single" w:sz="8" w:color="auto"/>
            </w:tcBorders>
          </w:tcPr>
          <w:p>
            <w:pPr>
              <w:spacing w:after="0"/>
              <w:rPr>
                <w:sz w:val="23"/>
                <w:szCs w:val="23"/>
                <w:color w:val="auto"/>
              </w:rPr>
            </w:pPr>
          </w:p>
        </w:tc>
      </w:tr>
    </w:tbl>
    <w:p>
      <w:pPr>
        <w:sectPr>
          <w:pgSz w:w="11900" w:h="16838" w:orient="portrait"/>
          <w:cols w:equalWidth="0" w:num="1">
            <w:col w:w="11240"/>
          </w:cols>
          <w:pgMar w:left="320" w:top="1440" w:right="339" w:bottom="1440"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2"/>
          </w:tcPr>
          <w:p>
            <w:pPr>
              <w:ind w:left="370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459"/>
        </w:trPr>
        <w:tc>
          <w:tcPr>
            <w:tcW w:w="3920" w:type="dxa"/>
            <w:vAlign w:val="bottom"/>
          </w:tcPr>
          <w:p>
            <w:pPr>
              <w:spacing w:after="0"/>
              <w:rPr>
                <w:sz w:val="24"/>
                <w:szCs w:val="24"/>
                <w:color w:val="auto"/>
              </w:rPr>
            </w:pPr>
          </w:p>
        </w:tc>
        <w:tc>
          <w:tcPr>
            <w:tcW w:w="7320" w:type="dxa"/>
            <w:vAlign w:val="bottom"/>
            <w:gridSpan w:val="4"/>
          </w:tcPr>
          <w:p>
            <w:pPr>
              <w:ind w:left="100"/>
              <w:spacing w:after="0"/>
              <w:rPr>
                <w:sz w:val="20"/>
                <w:szCs w:val="20"/>
                <w:color w:val="auto"/>
              </w:rPr>
            </w:pPr>
            <w:r>
              <w:rPr>
                <w:rFonts w:ascii="Arial" w:cs="Arial" w:eastAsia="Arial" w:hAnsi="Arial"/>
                <w:sz w:val="18"/>
                <w:szCs w:val="18"/>
                <w:b w:val="1"/>
                <w:bCs w:val="1"/>
                <w:color w:val="auto"/>
              </w:rPr>
              <w:t>SUBSIDIARIES OF THE REGISTRANT</w:t>
            </w:r>
          </w:p>
        </w:tc>
        <w:tc>
          <w:tcPr>
            <w:tcW w:w="0" w:type="dxa"/>
            <w:vAlign w:val="bottom"/>
          </w:tcPr>
          <w:p>
            <w:pPr>
              <w:spacing w:after="0"/>
              <w:rPr>
                <w:sz w:val="1"/>
                <w:szCs w:val="1"/>
                <w:color w:val="auto"/>
              </w:rPr>
            </w:pPr>
          </w:p>
        </w:tc>
      </w:tr>
      <w:tr>
        <w:trPr>
          <w:trHeight w:val="445"/>
        </w:trPr>
        <w:tc>
          <w:tcPr>
            <w:tcW w:w="3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OF SUBSIDIARY OR ORGANIZATION</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STATE OF INCORPORATION OR</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vMerge w:val="continue"/>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FORMATION</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20" w:type="dxa"/>
            <w:vAlign w:val="bottom"/>
          </w:tcPr>
          <w:p>
            <w:pPr>
              <w:ind w:left="20"/>
              <w:spacing w:after="0"/>
              <w:rPr>
                <w:sz w:val="20"/>
                <w:szCs w:val="20"/>
                <w:color w:val="auto"/>
              </w:rPr>
            </w:pPr>
            <w:r>
              <w:rPr>
                <w:rFonts w:ascii="Arial" w:cs="Arial" w:eastAsia="Arial" w:hAnsi="Arial"/>
                <w:sz w:val="18"/>
                <w:szCs w:val="18"/>
                <w:color w:val="auto"/>
              </w:rPr>
              <w:t>Depo Sub Manager, LLC</w:t>
            </w:r>
          </w:p>
        </w:tc>
        <w:tc>
          <w:tcPr>
            <w:tcW w:w="2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20" w:type="dxa"/>
            <w:vAlign w:val="bottom"/>
            <w:gridSpan w:val="2"/>
          </w:tcPr>
          <w:p>
            <w:pPr>
              <w:jc w:val="right"/>
              <w:ind w:right="6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DFM, LLC</w:t>
            </w: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20" w:type="dxa"/>
            <w:vAlign w:val="bottom"/>
            <w:gridSpan w:val="2"/>
          </w:tcPr>
          <w:p>
            <w:pPr>
              <w:jc w:val="right"/>
              <w:ind w:right="6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PDL Investment Holdings, LLC</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2"/>
          </w:tcPr>
          <w:p>
            <w:pPr>
              <w:jc w:val="right"/>
              <w:ind w:right="6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Dominique Monnet, President and Chief Executive Officer of PDL BioPharma, Inc., certify that:</w:t>
      </w:r>
    </w:p>
    <w:p>
      <w:pPr>
        <w:spacing w:after="0" w:line="63" w:lineRule="exact"/>
        <w:rPr>
          <w:sz w:val="20"/>
          <w:szCs w:val="20"/>
          <w:color w:val="auto"/>
        </w:rPr>
      </w:pPr>
    </w:p>
    <w:p>
      <w:pPr>
        <w:ind w:left="260" w:hanging="252"/>
        <w:spacing w:after="0"/>
        <w:tabs>
          <w:tab w:leader="none" w:pos="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PDL BioPharma,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480" w:firstLine="8"/>
        <w:spacing w:after="0" w:line="277"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ind w:right="80" w:firstLine="8"/>
        <w:spacing w:after="0" w:line="263"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260" w:right="260" w:firstLine="315"/>
        <w:spacing w:after="0" w:line="263" w:lineRule="auto"/>
        <w:tabs>
          <w:tab w:leader="none" w:pos="76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260" w:right="480" w:firstLine="315"/>
        <w:spacing w:after="0" w:line="263" w:lineRule="auto"/>
        <w:tabs>
          <w:tab w:leader="none" w:pos="7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260" w:right="780" w:firstLine="315"/>
        <w:spacing w:after="0" w:line="316" w:lineRule="auto"/>
        <w:tabs>
          <w:tab w:leader="none" w:pos="769"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260" w:right="260" w:firstLine="315"/>
        <w:spacing w:after="0" w:line="263" w:lineRule="auto"/>
        <w:tabs>
          <w:tab w:leader="none" w:pos="7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right="400" w:firstLine="8"/>
        <w:spacing w:after="0" w:line="298" w:lineRule="auto"/>
        <w:tabs>
          <w:tab w:leader="none" w:pos="25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260" w:right="180" w:firstLine="315"/>
        <w:spacing w:after="0" w:line="277" w:lineRule="auto"/>
        <w:tabs>
          <w:tab w:leader="none" w:pos="76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260" w:right="120" w:firstLine="315"/>
        <w:spacing w:after="0" w:line="277" w:lineRule="auto"/>
        <w:tabs>
          <w:tab w:leader="none" w:pos="77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2021</w:t>
      </w:r>
    </w:p>
    <w:p>
      <w:pPr>
        <w:spacing w:after="0" w:line="63" w:lineRule="exact"/>
        <w:rPr>
          <w:sz w:val="20"/>
          <w:szCs w:val="20"/>
          <w:color w:val="auto"/>
        </w:rPr>
      </w:pPr>
    </w:p>
    <w:p>
      <w:pPr>
        <w:jc w:val="center"/>
        <w:ind w:right="3640"/>
        <w:spacing w:after="0"/>
        <w:rPr>
          <w:sz w:val="20"/>
          <w:szCs w:val="20"/>
          <w:color w:val="auto"/>
        </w:rPr>
      </w:pPr>
      <w:r>
        <w:rPr>
          <w:rFonts w:ascii="Arial" w:cs="Arial" w:eastAsia="Arial" w:hAnsi="Arial"/>
          <w:sz w:val="18"/>
          <w:szCs w:val="18"/>
          <w:color w:val="auto"/>
        </w:rPr>
        <w:t>/S/ DOMINIQUE MONNET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8260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3">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39"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Dominique Monnet</w:t>
      </w:r>
    </w:p>
    <w:p>
      <w:pPr>
        <w:spacing w:after="0" w:line="50"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50" w:lineRule="exact"/>
        <w:rPr>
          <w:sz w:val="20"/>
          <w:szCs w:val="20"/>
          <w:color w:val="auto"/>
        </w:rPr>
      </w:pPr>
    </w:p>
    <w:p>
      <w:pPr>
        <w:jc w:val="center"/>
        <w:ind w:right="36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417"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Edward A. Imbrogno, Vice President and Chief Financial Officer of PDL BioPharma, Inc., certify that:</w:t>
      </w:r>
    </w:p>
    <w:p>
      <w:pPr>
        <w:spacing w:after="0" w:line="63" w:lineRule="exact"/>
        <w:rPr>
          <w:sz w:val="20"/>
          <w:szCs w:val="20"/>
          <w:color w:val="auto"/>
        </w:rPr>
      </w:pPr>
    </w:p>
    <w:p>
      <w:pPr>
        <w:ind w:left="260" w:hanging="252"/>
        <w:spacing w:after="0"/>
        <w:tabs>
          <w:tab w:leader="none" w:pos="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PDL BioPharma, Inc.;</w:t>
      </w:r>
    </w:p>
    <w:p>
      <w:pPr>
        <w:spacing w:after="0" w:line="63" w:lineRule="exact"/>
        <w:rPr>
          <w:rFonts w:ascii="Arial" w:cs="Arial" w:eastAsia="Arial" w:hAnsi="Arial"/>
          <w:sz w:val="18"/>
          <w:szCs w:val="18"/>
          <w:color w:val="auto"/>
        </w:rPr>
      </w:pPr>
    </w:p>
    <w:p>
      <w:pPr>
        <w:ind w:left="260" w:hanging="252"/>
        <w:spacing w:after="0"/>
        <w:tabs>
          <w:tab w:leader="none" w:pos="2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480" w:firstLine="8"/>
        <w:spacing w:after="0" w:line="277"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ind w:right="80" w:firstLine="8"/>
        <w:spacing w:after="0" w:line="263"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260" w:right="260" w:firstLine="315"/>
        <w:spacing w:after="0" w:line="263" w:lineRule="auto"/>
        <w:tabs>
          <w:tab w:leader="none" w:pos="76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260" w:right="480" w:firstLine="315"/>
        <w:spacing w:after="0" w:line="263" w:lineRule="auto"/>
        <w:tabs>
          <w:tab w:leader="none" w:pos="77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260" w:right="780" w:firstLine="315"/>
        <w:spacing w:after="0" w:line="316" w:lineRule="auto"/>
        <w:tabs>
          <w:tab w:leader="none" w:pos="769"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260" w:right="260" w:firstLine="315"/>
        <w:spacing w:after="0" w:line="263" w:lineRule="auto"/>
        <w:tabs>
          <w:tab w:leader="none" w:pos="77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right="400" w:firstLine="8"/>
        <w:spacing w:after="0" w:line="298" w:lineRule="auto"/>
        <w:tabs>
          <w:tab w:leader="none" w:pos="25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260" w:right="180" w:firstLine="315"/>
        <w:spacing w:after="0" w:line="277" w:lineRule="auto"/>
        <w:tabs>
          <w:tab w:leader="none" w:pos="76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260" w:right="120" w:firstLine="315"/>
        <w:spacing w:after="0" w:line="277" w:lineRule="auto"/>
        <w:tabs>
          <w:tab w:leader="none" w:pos="77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2021</w:t>
      </w:r>
    </w:p>
    <w:p>
      <w:pPr>
        <w:spacing w:after="0" w:line="306" w:lineRule="exact"/>
        <w:rPr>
          <w:sz w:val="20"/>
          <w:szCs w:val="20"/>
          <w:color w:val="auto"/>
        </w:rPr>
      </w:pPr>
    </w:p>
    <w:p>
      <w:pPr>
        <w:jc w:val="center"/>
        <w:ind w:right="2300"/>
        <w:spacing w:after="0"/>
        <w:rPr>
          <w:sz w:val="20"/>
          <w:szCs w:val="20"/>
          <w:color w:val="auto"/>
        </w:rPr>
      </w:pPr>
      <w:r>
        <w:rPr>
          <w:rFonts w:ascii="Arial" w:cs="Arial" w:eastAsia="Arial" w:hAnsi="Arial"/>
          <w:sz w:val="18"/>
          <w:szCs w:val="18"/>
          <w:color w:val="auto"/>
        </w:rPr>
        <w:t>/S/ EDWARD A. IMBROGNO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6661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4">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 w:lineRule="exact"/>
        <w:rPr>
          <w:sz w:val="20"/>
          <w:szCs w:val="20"/>
          <w:color w:val="auto"/>
        </w:rPr>
      </w:pPr>
    </w:p>
    <w:p>
      <w:pPr>
        <w:jc w:val="center"/>
        <w:ind w:right="2300"/>
        <w:spacing w:after="0"/>
        <w:rPr>
          <w:sz w:val="20"/>
          <w:szCs w:val="20"/>
          <w:color w:val="auto"/>
        </w:rPr>
      </w:pPr>
      <w:r>
        <w:rPr>
          <w:rFonts w:ascii="Arial" w:cs="Arial" w:eastAsia="Arial" w:hAnsi="Arial"/>
          <w:sz w:val="18"/>
          <w:szCs w:val="18"/>
          <w:b w:val="1"/>
          <w:bCs w:val="1"/>
          <w:color w:val="auto"/>
        </w:rPr>
        <w:t>Edward A. Imbrogno</w:t>
      </w:r>
    </w:p>
    <w:p>
      <w:pPr>
        <w:spacing w:after="0" w:line="50" w:lineRule="exact"/>
        <w:rPr>
          <w:sz w:val="20"/>
          <w:szCs w:val="20"/>
          <w:color w:val="auto"/>
        </w:rPr>
      </w:pPr>
    </w:p>
    <w:p>
      <w:pPr>
        <w:jc w:val="center"/>
        <w:ind w:right="2300"/>
        <w:spacing w:after="0"/>
        <w:rPr>
          <w:sz w:val="20"/>
          <w:szCs w:val="20"/>
          <w:color w:val="auto"/>
        </w:rPr>
      </w:pPr>
      <w:r>
        <w:rPr>
          <w:rFonts w:ascii="Arial" w:cs="Arial" w:eastAsia="Arial" w:hAnsi="Arial"/>
          <w:sz w:val="18"/>
          <w:szCs w:val="18"/>
          <w:b w:val="1"/>
          <w:bCs w:val="1"/>
          <w:color w:val="auto"/>
        </w:rPr>
        <w:t>Vice President and Chief Financial Officer</w:t>
      </w:r>
    </w:p>
    <w:p>
      <w:pPr>
        <w:spacing w:after="0" w:line="50" w:lineRule="exact"/>
        <w:rPr>
          <w:sz w:val="20"/>
          <w:szCs w:val="20"/>
          <w:color w:val="auto"/>
        </w:rPr>
      </w:pPr>
    </w:p>
    <w:p>
      <w:pPr>
        <w:jc w:val="center"/>
        <w:ind w:right="23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417"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Dominique Monnet, President and Chief Executive Officer of PDL BioPharma, Inc. (the “Company”), and Edward A. Imbrogno, Vice President and Chief Financial Officer of the Company, each hereby certifies that, to the best of their knowledge:</w:t>
      </w:r>
    </w:p>
    <w:p>
      <w:pPr>
        <w:spacing w:after="0" w:line="214" w:lineRule="exact"/>
        <w:rPr>
          <w:sz w:val="20"/>
          <w:szCs w:val="20"/>
          <w:color w:val="auto"/>
        </w:rPr>
      </w:pPr>
    </w:p>
    <w:p>
      <w:pPr>
        <w:ind w:right="240" w:firstLine="899"/>
        <w:spacing w:after="0" w:line="342" w:lineRule="auto"/>
        <w:tabs>
          <w:tab w:leader="none" w:pos="114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2020, to which this Certification is attached as Exhibit 32.1 (the “Periodic Report”), fully complies with the requirements of Section 13(a) or Section 15(d) of the Securities Exchange Act of 1934, and</w:t>
      </w:r>
    </w:p>
    <w:p>
      <w:pPr>
        <w:spacing w:after="0" w:line="150" w:lineRule="exact"/>
        <w:rPr>
          <w:rFonts w:ascii="Arial" w:cs="Arial" w:eastAsia="Arial" w:hAnsi="Arial"/>
          <w:sz w:val="16"/>
          <w:szCs w:val="16"/>
          <w:color w:val="auto"/>
        </w:rPr>
      </w:pPr>
    </w:p>
    <w:p>
      <w:pPr>
        <w:ind w:left="1160" w:hanging="261"/>
        <w:spacing w:after="0"/>
        <w:tabs>
          <w:tab w:leader="none" w:pos="11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2021</w:t>
      </w:r>
    </w:p>
    <w:p>
      <w:pPr>
        <w:spacing w:after="0" w:line="30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jc w:val="center"/>
        <w:ind w:left="2440"/>
        <w:spacing w:after="0"/>
        <w:rPr>
          <w:sz w:val="20"/>
          <w:szCs w:val="20"/>
          <w:color w:val="auto"/>
        </w:rPr>
      </w:pPr>
      <w:r>
        <w:rPr>
          <w:rFonts w:ascii="Arial" w:cs="Arial" w:eastAsia="Arial" w:hAnsi="Arial"/>
          <w:sz w:val="18"/>
          <w:szCs w:val="18"/>
          <w:color w:val="auto"/>
        </w:rPr>
        <w:t>/S/ DOMINIQUE MONNET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23495</wp:posOffset>
            </wp:positionV>
            <wp:extent cx="59404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5">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39" w:lineRule="exact"/>
        <w:rPr>
          <w:sz w:val="20"/>
          <w:szCs w:val="20"/>
          <w:color w:val="auto"/>
        </w:rPr>
      </w:pPr>
    </w:p>
    <w:p>
      <w:pPr>
        <w:jc w:val="center"/>
        <w:ind w:left="2440"/>
        <w:spacing w:after="0"/>
        <w:rPr>
          <w:sz w:val="20"/>
          <w:szCs w:val="20"/>
          <w:color w:val="auto"/>
        </w:rPr>
      </w:pPr>
      <w:r>
        <w:rPr>
          <w:rFonts w:ascii="Arial" w:cs="Arial" w:eastAsia="Arial" w:hAnsi="Arial"/>
          <w:sz w:val="18"/>
          <w:szCs w:val="18"/>
          <w:b w:val="1"/>
          <w:bCs w:val="1"/>
          <w:color w:val="auto"/>
        </w:rPr>
        <w:t>Dominique Monnet</w:t>
      </w:r>
    </w:p>
    <w:p>
      <w:pPr>
        <w:spacing w:after="0" w:line="50" w:lineRule="exact"/>
        <w:rPr>
          <w:sz w:val="20"/>
          <w:szCs w:val="20"/>
          <w:color w:val="auto"/>
        </w:rPr>
      </w:pPr>
    </w:p>
    <w:p>
      <w:pPr>
        <w:jc w:val="center"/>
        <w:ind w:left="24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50" w:lineRule="exact"/>
        <w:rPr>
          <w:sz w:val="20"/>
          <w:szCs w:val="20"/>
          <w:color w:val="auto"/>
        </w:rPr>
      </w:pPr>
    </w:p>
    <w:p>
      <w:pPr>
        <w:jc w:val="center"/>
        <w:ind w:left="244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6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jc w:val="center"/>
        <w:ind w:left="2440"/>
        <w:spacing w:after="0"/>
        <w:rPr>
          <w:sz w:val="20"/>
          <w:szCs w:val="20"/>
          <w:color w:val="auto"/>
        </w:rPr>
      </w:pPr>
      <w:r>
        <w:rPr>
          <w:rFonts w:ascii="Arial" w:cs="Arial" w:eastAsia="Arial" w:hAnsi="Arial"/>
          <w:sz w:val="18"/>
          <w:szCs w:val="18"/>
          <w:color w:val="auto"/>
        </w:rPr>
        <w:t>/S/ EDWARD A. IMBROGNO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23495</wp:posOffset>
            </wp:positionV>
            <wp:extent cx="59404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6">
                      <a:extLst>
                        <a:ext uri="{28A0092B-C50C-407E-A947-70E740481C1C}"/>
                      </a:extLst>
                    </a:blip>
                    <a:srcRect/>
                    <a:stretch>
                      <a:fillRect/>
                    </a:stretch>
                  </pic:blipFill>
                  <pic:spPr bwMode="auto">
                    <a:xfrm>
                      <a:off x="0" y="0"/>
                      <a:ext cx="5940425" cy="8890"/>
                    </a:xfrm>
                    <a:prstGeom prst="rect">
                      <a:avLst/>
                    </a:prstGeom>
                    <a:noFill/>
                  </pic:spPr>
                </pic:pic>
              </a:graphicData>
            </a:graphic>
          </wp:anchor>
        </w:drawing>
      </w:r>
    </w:p>
    <w:p>
      <w:pPr>
        <w:spacing w:after="0" w:line="39" w:lineRule="exact"/>
        <w:rPr>
          <w:sz w:val="20"/>
          <w:szCs w:val="20"/>
          <w:color w:val="auto"/>
        </w:rPr>
      </w:pPr>
    </w:p>
    <w:p>
      <w:pPr>
        <w:jc w:val="center"/>
        <w:ind w:left="2440"/>
        <w:spacing w:after="0"/>
        <w:rPr>
          <w:sz w:val="20"/>
          <w:szCs w:val="20"/>
          <w:color w:val="auto"/>
        </w:rPr>
      </w:pPr>
      <w:r>
        <w:rPr>
          <w:rFonts w:ascii="Arial" w:cs="Arial" w:eastAsia="Arial" w:hAnsi="Arial"/>
          <w:sz w:val="18"/>
          <w:szCs w:val="18"/>
          <w:b w:val="1"/>
          <w:bCs w:val="1"/>
          <w:color w:val="auto"/>
        </w:rPr>
        <w:t>Edward A. Imbrogno</w:t>
      </w:r>
    </w:p>
    <w:p>
      <w:pPr>
        <w:spacing w:after="0" w:line="50" w:lineRule="exact"/>
        <w:rPr>
          <w:sz w:val="20"/>
          <w:szCs w:val="20"/>
          <w:color w:val="auto"/>
        </w:rPr>
      </w:pPr>
    </w:p>
    <w:p>
      <w:pPr>
        <w:jc w:val="center"/>
        <w:ind w:left="2440"/>
        <w:spacing w:after="0"/>
        <w:rPr>
          <w:sz w:val="20"/>
          <w:szCs w:val="20"/>
          <w:color w:val="auto"/>
        </w:rPr>
      </w:pPr>
      <w:r>
        <w:rPr>
          <w:rFonts w:ascii="Arial" w:cs="Arial" w:eastAsia="Arial" w:hAnsi="Arial"/>
          <w:sz w:val="18"/>
          <w:szCs w:val="18"/>
          <w:b w:val="1"/>
          <w:bCs w:val="1"/>
          <w:color w:val="auto"/>
        </w:rPr>
        <w:t>Vice President and Chief Financial Officer</w:t>
      </w:r>
    </w:p>
    <w:p>
      <w:pPr>
        <w:spacing w:after="0" w:line="50" w:lineRule="exact"/>
        <w:rPr>
          <w:sz w:val="20"/>
          <w:szCs w:val="20"/>
          <w:color w:val="auto"/>
        </w:rPr>
      </w:pPr>
    </w:p>
    <w:p>
      <w:pPr>
        <w:jc w:val="center"/>
        <w:ind w:left="2440"/>
        <w:spacing w:after="0"/>
        <w:rPr>
          <w:sz w:val="20"/>
          <w:szCs w:val="20"/>
          <w:color w:val="auto"/>
        </w:rPr>
      </w:pPr>
      <w:r>
        <w:rPr>
          <w:rFonts w:ascii="Arial" w:cs="Arial" w:eastAsia="Arial" w:hAnsi="Arial"/>
          <w:sz w:val="18"/>
          <w:szCs w:val="18"/>
          <w:b w:val="1"/>
          <w:bCs w:val="1"/>
          <w:color w:val="auto"/>
        </w:rPr>
        <w:t>(Principal Financial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FFFFFF"/>
        </w:rPr>
        <w:t>_________________________________________</w:t>
      </w:r>
    </w:p>
    <w:p>
      <w:pPr>
        <w:spacing w:after="0" w:line="49" w:lineRule="exact"/>
        <w:rPr>
          <w:sz w:val="20"/>
          <w:szCs w:val="20"/>
          <w:color w:val="auto"/>
        </w:rPr>
      </w:pPr>
    </w:p>
    <w:p>
      <w:pPr>
        <w:ind w:right="60" w:firstLine="656"/>
        <w:spacing w:after="0" w:line="275" w:lineRule="auto"/>
        <w:tabs>
          <w:tab w:leader="none" w:pos="91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This certification accompanies the Annual Report on Form 10-K to which it relates, is not deemed filed with the Securities and Exchange Commission and is not to be incorporated by reference into any filing of PDL BioPharma, Inc.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PDL BioPharma, Inc. and will be retained by PDL BioPharma, Inc. and furnished to the Securities and Exchange Commission or its staff upon request.</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1)"/>
      <w:numFmt w:val="decimal"/>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1"/>
      <w:numFmt w:val="bullet"/>
      <w:start w:val="1"/>
    </w:lvl>
  </w:abstractNum>
  <w:abstractNum w:abstractNumId="21">
    <w:nsid w:val="100F59DC"/>
    <w:multiLevelType w:val="hybridMultilevel"/>
    <w:lvl w:ilvl="0">
      <w:lvlJc w:val="left"/>
      <w:lvlText w:val="2"/>
      <w:numFmt w:val="bullet"/>
      <w:start w:val="1"/>
    </w:lvl>
  </w:abstractNum>
  <w:abstractNum w:abstractNumId="22">
    <w:nsid w:val="7FB7E0AA"/>
    <w:multiLevelType w:val="hybridMultilevel"/>
    <w:lvl w:ilvl="0">
      <w:lvlJc w:val="left"/>
      <w:lvlText w:val="(%1)"/>
      <w:numFmt w:val="lowerLetter"/>
      <w:start w:val="1"/>
    </w:lvl>
  </w:abstractNum>
  <w:abstractNum w:abstractNumId="23">
    <w:nsid w:val="6EB5BD4"/>
    <w:multiLevelType w:val="hybridMultilevel"/>
    <w:lvl w:ilvl="0">
      <w:lvlJc w:val="left"/>
      <w:lvlText w:val="(%1)"/>
      <w:numFmt w:val="decimal"/>
      <w:start w:val="1"/>
    </w:lvl>
  </w:abstractNum>
  <w:abstractNum w:abstractNumId="24">
    <w:nsid w:val="6F6DD9AC"/>
    <w:multiLevelType w:val="hybridMultilevel"/>
    <w:lvl w:ilvl="0">
      <w:lvlJc w:val="left"/>
      <w:lvlText w:val="(%1)"/>
      <w:numFmt w:val="decimal"/>
      <w:start w:val="2"/>
    </w:lvl>
  </w:abstractNum>
  <w:abstractNum w:abstractNumId="25">
    <w:nsid w:val="94211F2"/>
    <w:multiLevelType w:val="hybridMultilevel"/>
    <w:lvl w:ilvl="0">
      <w:lvlJc w:val="left"/>
      <w:lvlText w:val="%1"/>
      <w:numFmt w:val="decimal"/>
      <w:start w:val="1"/>
    </w:lvl>
    <w:lvl w:ilvl="1">
      <w:lvlJc w:val="left"/>
      <w:lvlText w:val="(%2)"/>
      <w:numFmt w:val="decimal"/>
      <w:start w:val="3"/>
    </w:lvl>
  </w:abstractNum>
  <w:abstractNum w:abstractNumId="26">
    <w:nsid w:val="885E1B"/>
    <w:multiLevelType w:val="hybridMultilevel"/>
    <w:lvl w:ilvl="0">
      <w:lvlJc w:val="left"/>
      <w:lvlText w:val="%1."/>
      <w:numFmt w:val="decimal"/>
      <w:start w:val="4"/>
    </w:lvl>
    <w:lvl w:ilvl="1">
      <w:lvlJc w:val="left"/>
      <w:lvlText w:val="%2"/>
      <w:numFmt w:val="decimal"/>
      <w:start w:val="1"/>
    </w:lvl>
  </w:abstractNum>
  <w:abstractNum w:abstractNumId="27">
    <w:nsid w:val="76272110"/>
    <w:multiLevelType w:val="hybridMultilevel"/>
    <w:lvl w:ilvl="0">
      <w:lvlJc w:val="left"/>
      <w:lvlText w:val="(%1)"/>
      <w:numFmt w:val="decimal"/>
      <w:start w:val="1"/>
    </w:lvl>
  </w:abstractNum>
  <w:abstractNum w:abstractNumId="28">
    <w:nsid w:val="4C04A8AF"/>
    <w:multiLevelType w:val="hybridMultilevel"/>
    <w:lvl w:ilvl="0">
      <w:lvlJc w:val="left"/>
      <w:lvlText w:val="(%1)"/>
      <w:numFmt w:val="decimal"/>
      <w:start w:val="1"/>
    </w:lvl>
  </w:abstractNum>
  <w:abstractNum w:abstractNumId="29">
    <w:nsid w:val="1716703B"/>
    <w:multiLevelType w:val="hybridMultilevel"/>
    <w:lvl w:ilvl="0">
      <w:lvlJc w:val="left"/>
      <w:lvlText w:val="(%1)"/>
      <w:numFmt w:val="decimal"/>
      <w:start w:val="1"/>
    </w:lvl>
  </w:abstractNum>
  <w:abstractNum w:abstractNumId="30">
    <w:nsid w:val="14E17E33"/>
    <w:multiLevelType w:val="hybridMultilevel"/>
    <w:lvl w:ilvl="0">
      <w:lvlJc w:val="left"/>
      <w:lvlText w:val="(%1)"/>
      <w:numFmt w:val="decimal"/>
      <w:start w:val="1"/>
    </w:lvl>
  </w:abstractNum>
  <w:abstractNum w:abstractNumId="31">
    <w:nsid w:val="3222E7CD"/>
    <w:multiLevelType w:val="hybridMultilevel"/>
    <w:lvl w:ilvl="0">
      <w:lvlJc w:val="left"/>
      <w:lvlText w:val="(%1)"/>
      <w:numFmt w:val="decimal"/>
      <w:start w:val="1"/>
    </w:lvl>
  </w:abstractNum>
  <w:abstractNum w:abstractNumId="32">
    <w:nsid w:val="74DE0EE3"/>
    <w:multiLevelType w:val="hybridMultilevel"/>
    <w:lvl w:ilvl="0">
      <w:lvlJc w:val="left"/>
      <w:lvlText w:val="1"/>
      <w:numFmt w:val="bullet"/>
      <w:start w:val="1"/>
    </w:lvl>
  </w:abstractNum>
  <w:abstractNum w:abstractNumId="33">
    <w:nsid w:val="68EBC550"/>
    <w:multiLevelType w:val="hybridMultilevel"/>
    <w:lvl w:ilvl="0">
      <w:lvlJc w:val="left"/>
      <w:lvlText w:val="2"/>
      <w:numFmt w:val="bullet"/>
      <w:start w:val="1"/>
    </w:lvl>
  </w:abstractNum>
  <w:abstractNum w:abstractNumId="34">
    <w:nsid w:val="2DF6D648"/>
    <w:multiLevelType w:val="hybridMultilevel"/>
    <w:lvl w:ilvl="0">
      <w:lvlJc w:val="left"/>
      <w:lvlText w:val="3"/>
      <w:numFmt w:val="bullet"/>
      <w:start w:val="1"/>
    </w:lvl>
  </w:abstractNum>
  <w:abstractNum w:abstractNumId="35">
    <w:nsid w:val="46B7D447"/>
    <w:multiLevelType w:val="hybridMultilevel"/>
    <w:lvl w:ilvl="0">
      <w:lvlJc w:val="left"/>
      <w:lvlText w:val="4"/>
      <w:numFmt w:val="bullet"/>
      <w:start w:val="1"/>
    </w:lvl>
  </w:abstractNum>
  <w:abstractNum w:abstractNumId="36">
    <w:nsid w:val="4A2AC315"/>
    <w:multiLevelType w:val="hybridMultilevel"/>
    <w:lvl w:ilvl="0">
      <w:lvlJc w:val="left"/>
      <w:lvlText w:val="5"/>
      <w:numFmt w:val="bullet"/>
      <w:start w:val="1"/>
    </w:lvl>
  </w:abstractNum>
  <w:abstractNum w:abstractNumId="37">
    <w:nsid w:val="39EE015C"/>
    <w:multiLevelType w:val="hybridMultilevel"/>
    <w:lvl w:ilvl="0">
      <w:lvlJc w:val="left"/>
      <w:lvlText w:val="(%1)"/>
      <w:numFmt w:val="decimal"/>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
      <w:numFmt w:val="bullet"/>
      <w:start w:val="1"/>
    </w:lvl>
  </w:abstractNum>
  <w:abstractNum w:abstractNumId="42">
    <w:nsid w:val="26F324BA"/>
    <w:multiLevelType w:val="hybridMultilevel"/>
    <w:lvl w:ilvl="0">
      <w:lvlJc w:val="left"/>
      <w:lvlText w:val="(%1)"/>
      <w:numFmt w:val="decimal"/>
      <w:start w:val="1"/>
    </w:lvl>
  </w:abstractNum>
  <w:abstractNum w:abstractNumId="43">
    <w:nsid w:val="7F01579B"/>
    <w:multiLevelType w:val="hybridMultilevel"/>
    <w:lvl w:ilvl="0">
      <w:lvlJc w:val="left"/>
      <w:lvlText w:val="(%1)"/>
      <w:numFmt w:val="decimal"/>
      <w:start w:val="1"/>
    </w:lvl>
  </w:abstractNum>
  <w:abstractNum w:abstractNumId="44">
    <w:nsid w:val="49DA307D"/>
    <w:multiLevelType w:val="hybridMultilevel"/>
    <w:lvl w:ilvl="0">
      <w:lvlJc w:val="left"/>
      <w:lvlText w:val="(%1)"/>
      <w:numFmt w:val="decimal"/>
      <w:start w:val="1"/>
    </w:lvl>
  </w:abstractNum>
  <w:abstractNum w:abstractNumId="45">
    <w:nsid w:val="7055A5F5"/>
    <w:multiLevelType w:val="hybridMultilevel"/>
    <w:lvl w:ilvl="0">
      <w:lvlJc w:val="left"/>
      <w:lvlText w:val="(%1)"/>
      <w:numFmt w:val="decimal"/>
      <w:start w:val="1"/>
    </w:lvl>
  </w:abstractNum>
  <w:abstractNum w:abstractNumId="46">
    <w:nsid w:val="5FB8370B"/>
    <w:multiLevelType w:val="hybridMultilevel"/>
    <w:lvl w:ilvl="0">
      <w:lvlJc w:val="left"/>
      <w:lvlText w:val="(%1)"/>
      <w:numFmt w:val="decimal"/>
      <w:start w:val="1"/>
    </w:lvl>
  </w:abstractNum>
  <w:abstractNum w:abstractNumId="47">
    <w:nsid w:val="50801EE1"/>
    <w:multiLevelType w:val="hybridMultilevel"/>
    <w:lvl w:ilvl="0">
      <w:lvlJc w:val="left"/>
      <w:lvlText w:val="(%1)"/>
      <w:numFmt w:val="decimal"/>
      <w:start w:val="1"/>
    </w:lvl>
  </w:abstractNum>
  <w:abstractNum w:abstractNumId="48">
    <w:nsid w:val="488AC1A"/>
    <w:multiLevelType w:val="hybridMultilevel"/>
    <w:lvl w:ilvl="0">
      <w:lvlJc w:val="left"/>
      <w:lvlText w:val="(%1)"/>
      <w:numFmt w:val="decimal"/>
      <w:start w:val="1"/>
    </w:lvl>
  </w:abstractNum>
  <w:abstractNum w:abstractNumId="49">
    <w:nsid w:val="5FB8011C"/>
    <w:multiLevelType w:val="hybridMultilevel"/>
    <w:lvl w:ilvl="0">
      <w:lvlJc w:val="left"/>
      <w:lvlText w:val="•"/>
      <w:numFmt w:val="bullet"/>
      <w:start w:val="1"/>
    </w:lvl>
  </w:abstractNum>
  <w:abstractNum w:abstractNumId="50">
    <w:nsid w:val="6AA78F7F"/>
    <w:multiLevelType w:val="hybridMultilevel"/>
    <w:lvl w:ilvl="0">
      <w:lvlJc w:val="left"/>
      <w:lvlText w:val="ü"/>
      <w:numFmt w:val="bullet"/>
      <w:start w:val="1"/>
    </w:lvl>
  </w:abstractNum>
  <w:abstractNum w:abstractNumId="51">
    <w:nsid w:val="7672BD23"/>
    <w:multiLevelType w:val="hybridMultilevel"/>
    <w:lvl w:ilvl="0">
      <w:lvlJc w:val="left"/>
      <w:lvlText w:val="û"/>
      <w:numFmt w:val="bullet"/>
      <w:start w:val="1"/>
    </w:lvl>
  </w:abstractNum>
  <w:abstractNum w:abstractNumId="52">
    <w:nsid w:val="6FC75AF8"/>
    <w:multiLevelType w:val="hybridMultilevel"/>
    <w:lvl w:ilvl="0">
      <w:lvlJc w:val="left"/>
      <w:lvlText w:val="(%1)"/>
      <w:numFmt w:val="decimal"/>
      <w:start w:val="1"/>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1)"/>
      <w:numFmt w:val="decimal"/>
      <w:start w:val="1"/>
    </w:lvl>
  </w:abstractNum>
  <w:abstractNum w:abstractNumId="55">
    <w:nsid w:val="5F3534A4"/>
    <w:multiLevelType w:val="hybridMultilevel"/>
    <w:lvl w:ilvl="0">
      <w:lvlJc w:val="left"/>
      <w:lvlText w:val="(%1)"/>
      <w:numFmt w:val="decimal"/>
      <w:start w:val="1"/>
    </w:lvl>
  </w:abstractNum>
  <w:abstractNum w:abstractNumId="56">
    <w:nsid w:val="73A1821B"/>
    <w:multiLevelType w:val="hybridMultilevel"/>
    <w:lvl w:ilvl="0">
      <w:lvlJc w:val="left"/>
      <w:lvlText w:val="(%1)"/>
      <w:numFmt w:val="decimal"/>
      <w:start w:val="4"/>
    </w:lvl>
  </w:abstractNum>
  <w:abstractNum w:abstractNumId="57">
    <w:nsid w:val="7DE67713"/>
    <w:multiLevelType w:val="hybridMultilevel"/>
    <w:lvl w:ilvl="0">
      <w:lvlJc w:val="left"/>
      <w:lvlText w:val="(%1)"/>
      <w:numFmt w:val="decimal"/>
      <w:start w:val="1"/>
    </w:lvl>
  </w:abstractNum>
  <w:abstractNum w:abstractNumId="58">
    <w:nsid w:val="555C55B5"/>
    <w:multiLevelType w:val="hybridMultilevel"/>
    <w:lvl w:ilvl="0">
      <w:lvlJc w:val="left"/>
      <w:lvlText w:val="(%1)"/>
      <w:numFmt w:val="decimal"/>
      <w:start w:val="3"/>
    </w:lvl>
    <w:lvl w:ilvl="1">
      <w:lvlJc w:val="left"/>
      <w:lvlText w:val="%2."/>
      <w:numFmt w:val="decimal"/>
      <w:start w:val="718"/>
    </w:lvl>
  </w:abstractNum>
  <w:abstractNum w:abstractNumId="59">
    <w:nsid w:val="3FA62ACA"/>
    <w:multiLevelType w:val="hybridMultilevel"/>
    <w:lvl w:ilvl="0">
      <w:lvlJc w:val="left"/>
      <w:lvlText w:val="(%1)"/>
      <w:numFmt w:val="decimal"/>
      <w:start w:val="1"/>
    </w:lvl>
  </w:abstractNum>
  <w:abstractNum w:abstractNumId="60">
    <w:nsid w:val="14FCE74E"/>
    <w:multiLevelType w:val="hybridMultilevel"/>
    <w:lvl w:ilvl="0">
      <w:lvlJc w:val="left"/>
      <w:lvlText w:val="(%1)"/>
      <w:numFmt w:val="decimal"/>
      <w:start w:val="1"/>
    </w:lvl>
  </w:abstractNum>
  <w:abstractNum w:abstractNumId="61">
    <w:nsid w:val="6A3DD3E8"/>
    <w:multiLevelType w:val="hybridMultilevel"/>
    <w:lvl w:ilvl="0">
      <w:lvlJc w:val="left"/>
      <w:lvlText w:val="•"/>
      <w:numFmt w:val="bullet"/>
      <w:start w:val="1"/>
    </w:lvl>
  </w:abstractNum>
  <w:abstractNum w:abstractNumId="62">
    <w:nsid w:val="71C91298"/>
    <w:multiLevelType w:val="hybridMultilevel"/>
    <w:lvl w:ilvl="0">
      <w:lvlJc w:val="left"/>
      <w:lvlText w:val="•"/>
      <w:numFmt w:val="bullet"/>
      <w:start w:val="1"/>
    </w:lvl>
  </w:abstractNum>
  <w:abstractNum w:abstractNumId="63">
    <w:nsid w:val="9DAF632"/>
    <w:multiLevelType w:val="hybridMultilevel"/>
    <w:lvl w:ilvl="0">
      <w:lvlJc w:val="left"/>
      <w:lvlText w:val="(%1)"/>
      <w:numFmt w:val="decimal"/>
      <w:start w:val="1"/>
    </w:lvl>
  </w:abstractNum>
  <w:abstractNum w:abstractNumId="64">
    <w:nsid w:val="53299938"/>
    <w:multiLevelType w:val="hybridMultilevel"/>
    <w:lvl w:ilvl="0">
      <w:lvlJc w:val="left"/>
      <w:lvlText w:val="(%1)"/>
      <w:numFmt w:val="decimal"/>
      <w:start w:val="4"/>
    </w:lvl>
  </w:abstractNum>
  <w:abstractNum w:abstractNumId="65">
    <w:nsid w:val="1FBFE8E0"/>
    <w:multiLevelType w:val="hybridMultilevel"/>
    <w:lvl w:ilvl="0">
      <w:lvlJc w:val="left"/>
      <w:lvlText w:val="(%1)"/>
      <w:numFmt w:val="decimal"/>
      <w:start w:val="7"/>
    </w:lvl>
  </w:abstractNum>
  <w:abstractNum w:abstractNumId="66">
    <w:nsid w:val="5092CA79"/>
    <w:multiLevelType w:val="hybridMultilevel"/>
    <w:lvl w:ilvl="0">
      <w:lvlJc w:val="left"/>
      <w:lvlText w:val="(%1)"/>
      <w:numFmt w:val="decimal"/>
      <w:start w:val="1"/>
    </w:lvl>
  </w:abstractNum>
  <w:abstractNum w:abstractNumId="67">
    <w:nsid w:val="1D545C4D"/>
    <w:multiLevelType w:val="hybridMultilevel"/>
    <w:lvl w:ilvl="0">
      <w:lvlJc w:val="left"/>
      <w:lvlText w:val="(%1)"/>
      <w:numFmt w:val="decimal"/>
      <w:start w:val="1"/>
    </w:lvl>
  </w:abstractNum>
  <w:abstractNum w:abstractNumId="68">
    <w:nsid w:val="59ADEA3D"/>
    <w:multiLevelType w:val="hybridMultilevel"/>
    <w:lvl w:ilvl="0">
      <w:lvlJc w:val="left"/>
      <w:lvlText w:val="(%1)"/>
      <w:numFmt w:val="lowerLetter"/>
      <w:start w:val="1"/>
    </w:lvl>
    <w:lvl w:ilvl="1">
      <w:lvlJc w:val="left"/>
      <w:lvlText w:val="(%2)"/>
      <w:numFmt w:val="decimal"/>
      <w:start w:val="1"/>
    </w:lvl>
  </w:abstractNum>
  <w:abstractNum w:abstractNumId="69">
    <w:nsid w:val="288F1A34"/>
    <w:multiLevelType w:val="hybridMultilevel"/>
    <w:lvl w:ilvl="0">
      <w:lvlJc w:val="left"/>
      <w:lvlText w:val="#"/>
      <w:numFmt w:val="bullet"/>
      <w:start w:val="1"/>
    </w:lvl>
  </w:abstractNum>
  <w:abstractNum w:abstractNumId="70">
    <w:nsid w:val="2A155DBC"/>
    <w:multiLevelType w:val="hybridMultilevel"/>
    <w:lvl w:ilvl="0">
      <w:lvlJc w:val="left"/>
      <w:lvlText w:val="*"/>
      <w:numFmt w:val="bullet"/>
      <w:start w:val="1"/>
    </w:lvl>
  </w:abstractNum>
  <w:abstractNum w:abstractNumId="71">
    <w:nsid w:val="1D9F6E5F"/>
    <w:multiLevelType w:val="hybridMultilevel"/>
    <w:lvl w:ilvl="0">
      <w:lvlJc w:val="left"/>
      <w:lvlText w:val="†"/>
      <w:numFmt w:val="bullet"/>
      <w:start w:val="1"/>
    </w:lvl>
  </w:abstractNum>
  <w:abstractNum w:abstractNumId="72">
    <w:nsid w:val="97E1B4E"/>
    <w:multiLevelType w:val="hybridMultilevel"/>
    <w:lvl w:ilvl="0">
      <w:lvlJc w:val="left"/>
      <w:lvlText w:val="+"/>
      <w:numFmt w:val="bullet"/>
      <w:start w:val="1"/>
    </w:lvl>
  </w:abstractNum>
  <w:abstractNum w:abstractNumId="73">
    <w:nsid w:val="51088277"/>
    <w:multiLevelType w:val="hybridMultilevel"/>
    <w:lvl w:ilvl="0">
      <w:lvlJc w:val="left"/>
      <w:lvlText w:val="•"/>
      <w:numFmt w:val="bullet"/>
      <w:start w:val="1"/>
    </w:lvl>
  </w:abstractNum>
  <w:abstractNum w:abstractNumId="74">
    <w:nsid w:val="1CA0C5FA"/>
    <w:multiLevelType w:val="hybridMultilevel"/>
    <w:lvl w:ilvl="0">
      <w:lvlJc w:val="left"/>
      <w:lvlText w:val="•"/>
      <w:numFmt w:val="bullet"/>
      <w:start w:val="1"/>
    </w:lvl>
  </w:abstractNum>
  <w:abstractNum w:abstractNumId="75">
    <w:nsid w:val="53584BCB"/>
    <w:multiLevelType w:val="hybridMultilevel"/>
    <w:lvl w:ilvl="0">
      <w:lvlJc w:val="left"/>
      <w:lvlText w:val="[***]"/>
      <w:numFmt w:val="bullet"/>
      <w:start w:val="1"/>
    </w:lvl>
  </w:abstractNum>
  <w:abstractNum w:abstractNumId="76">
    <w:nsid w:val="415E286C"/>
    <w:multiLevelType w:val="hybridMultilevel"/>
    <w:lvl w:ilvl="0">
      <w:lvlJc w:val="left"/>
      <w:lvlText w:val="%1."/>
      <w:numFmt w:val="decimal"/>
      <w:start w:val="11"/>
    </w:lvl>
  </w:abstractNum>
  <w:abstractNum w:abstractNumId="77">
    <w:nsid w:val="7C58FD05"/>
    <w:multiLevelType w:val="hybridMultilevel"/>
    <w:lvl w:ilvl="0">
      <w:lvlJc w:val="left"/>
      <w:lvlText w:val="%1."/>
      <w:numFmt w:val="decimal"/>
      <w:start w:val="1"/>
    </w:lvl>
  </w:abstractNum>
  <w:abstractNum w:abstractNumId="78">
    <w:nsid w:val="23D86AAC"/>
    <w:multiLevelType w:val="hybridMultilevel"/>
    <w:lvl w:ilvl="0">
      <w:lvlJc w:val="left"/>
      <w:lvlText w:val="%1"/>
      <w:numFmt w:val="lowerLetter"/>
      <w:start w:val="1"/>
    </w:lvl>
    <w:lvl w:ilvl="1">
      <w:lvlJc w:val="left"/>
      <w:lvlText w:val="%2."/>
      <w:numFmt w:val="decimal"/>
      <w:start w:val="2"/>
    </w:lvl>
  </w:abstractNum>
  <w:abstractNum w:abstractNumId="79">
    <w:nsid w:val="45E6D486"/>
    <w:multiLevelType w:val="hybridMultilevel"/>
    <w:lvl w:ilvl="0">
      <w:lvlJc w:val="left"/>
      <w:lvlText w:val="%1."/>
      <w:numFmt w:val="lowerLetter"/>
      <w:start w:val="1"/>
    </w:lvl>
    <w:lvl w:ilvl="1">
      <w:lvlJc w:val="left"/>
      <w:lvlText w:val="%2"/>
      <w:numFmt w:val="decimal"/>
      <w:start w:val="1"/>
    </w:lvl>
  </w:abstractNum>
  <w:abstractNum w:abstractNumId="80">
    <w:nsid w:val="5C10FE21"/>
    <w:multiLevelType w:val="hybridMultilevel"/>
    <w:lvl w:ilvl="0">
      <w:lvlJc w:val="left"/>
      <w:lvlText w:val="%1."/>
      <w:numFmt w:val="decimal"/>
      <w:start w:val="3"/>
    </w:lvl>
  </w:abstractNum>
  <w:abstractNum w:abstractNumId="81">
    <w:nsid w:val="E7FFA2B"/>
    <w:multiLevelType w:val="hybridMultilevel"/>
    <w:lvl w:ilvl="0">
      <w:lvlJc w:val="left"/>
      <w:lvlText w:val="%1."/>
      <w:numFmt w:val="lowerLetter"/>
      <w:start w:val="1"/>
    </w:lvl>
  </w:abstractNum>
  <w:abstractNum w:abstractNumId="82">
    <w:nsid w:val="3C5991AA"/>
    <w:multiLevelType w:val="hybridMultilevel"/>
    <w:lvl w:ilvl="0">
      <w:lvlJc w:val="left"/>
      <w:lvlText w:val="%1."/>
      <w:numFmt w:val="lowerLetter"/>
      <w:start w:val="3"/>
    </w:lvl>
  </w:abstractNum>
  <w:abstractNum w:abstractNumId="83">
    <w:nsid w:val="4BD8591A"/>
    <w:multiLevelType w:val="hybridMultilevel"/>
    <w:lvl w:ilvl="0">
      <w:lvlJc w:val="left"/>
      <w:lvlText w:val="%1."/>
      <w:numFmt w:val="decimal"/>
      <w:start w:val="4"/>
    </w:lvl>
  </w:abstractNum>
  <w:abstractNum w:abstractNumId="84">
    <w:nsid w:val="78DF6A55"/>
    <w:multiLevelType w:val="hybridMultilevel"/>
    <w:lvl w:ilvl="0">
      <w:lvlJc w:val="left"/>
      <w:lvlText w:val="%1."/>
      <w:numFmt w:val="lowerLetter"/>
      <w:start w:val="1"/>
    </w:lvl>
    <w:lvl w:ilvl="1">
      <w:lvlJc w:val="left"/>
      <w:lvlText w:val="(%2)"/>
      <w:numFmt w:val="lowerRoman"/>
      <w:start w:val="1"/>
    </w:lvl>
  </w:abstractNum>
  <w:abstractNum w:abstractNumId="85">
    <w:nsid w:val="39B7AAA2"/>
    <w:multiLevelType w:val="hybridMultilevel"/>
    <w:lvl w:ilvl="0">
      <w:lvlJc w:val="left"/>
      <w:lvlText w:val="%1."/>
      <w:numFmt w:val="lowerLetter"/>
      <w:start w:val="1"/>
    </w:lvl>
  </w:abstractNum>
  <w:abstractNum w:abstractNumId="86">
    <w:nsid w:val="2B0D8DBE"/>
    <w:multiLevelType w:val="hybridMultilevel"/>
    <w:lvl w:ilvl="0">
      <w:lvlJc w:val="left"/>
      <w:lvlText w:val="%1."/>
      <w:numFmt w:val="lowerLetter"/>
      <w:start w:val="3"/>
    </w:lvl>
  </w:abstractNum>
  <w:abstractNum w:abstractNumId="87">
    <w:nsid w:val="6C80EC70"/>
    <w:multiLevelType w:val="hybridMultilevel"/>
    <w:lvl w:ilvl="0">
      <w:lvlJc w:val="left"/>
      <w:lvlText w:val="%1."/>
      <w:numFmt w:val="lowerLetter"/>
      <w:start w:val="1"/>
    </w:lvl>
  </w:abstractNum>
  <w:abstractNum w:abstractNumId="88">
    <w:nsid w:val="379E21B5"/>
    <w:multiLevelType w:val="hybridMultilevel"/>
    <w:lvl w:ilvl="0">
      <w:lvlJc w:val="left"/>
      <w:lvlText w:val="%1."/>
      <w:numFmt w:val="lowerLetter"/>
      <w:start w:val="2"/>
    </w:lvl>
  </w:abstractNum>
  <w:abstractNum w:abstractNumId="89">
    <w:nsid w:val="69E373"/>
    <w:multiLevelType w:val="hybridMultilevel"/>
    <w:lvl w:ilvl="0">
      <w:lvlJc w:val="left"/>
      <w:lvlText w:val="%1."/>
      <w:numFmt w:val="decimal"/>
      <w:start w:val="5"/>
    </w:lvl>
  </w:abstractNum>
  <w:abstractNum w:abstractNumId="90">
    <w:nsid w:val="2C27173B"/>
    <w:multiLevelType w:val="hybridMultilevel"/>
    <w:lvl w:ilvl="0">
      <w:lvlJc w:val="left"/>
      <w:lvlText w:val="%1."/>
      <w:numFmt w:val="lowerLetter"/>
      <w:start w:val="1"/>
    </w:lvl>
  </w:abstractNum>
  <w:abstractNum w:abstractNumId="91">
    <w:nsid w:val="4C9B0904"/>
    <w:multiLevelType w:val="hybridMultilevel"/>
    <w:lvl w:ilvl="0">
      <w:lvlJc w:val="left"/>
      <w:lvlText w:val="%1."/>
      <w:numFmt w:val="lowerLetter"/>
      <w:start w:val="2"/>
    </w:lvl>
  </w:abstractNum>
  <w:abstractNum w:abstractNumId="92">
    <w:nsid w:val="6AA7B75C"/>
    <w:multiLevelType w:val="hybridMultilevel"/>
    <w:lvl w:ilvl="0">
      <w:lvlJc w:val="left"/>
      <w:lvlText w:val="%1."/>
      <w:numFmt w:val="lowerLetter"/>
      <w:start w:val="7"/>
    </w:lvl>
  </w:abstractNum>
  <w:abstractNum w:abstractNumId="93">
    <w:nsid w:val="1DF029D3"/>
    <w:multiLevelType w:val="hybridMultilevel"/>
    <w:lvl w:ilvl="0">
      <w:lvlJc w:val="left"/>
      <w:lvlText w:val="%1."/>
      <w:numFmt w:val="lowerLetter"/>
      <w:start w:val="1"/>
    </w:lvl>
    <w:lvl w:ilvl="1">
      <w:lvlJc w:val="left"/>
      <w:lvlText w:val="%2"/>
      <w:numFmt w:val="lowerLetter"/>
      <w:start w:val="1"/>
    </w:lvl>
  </w:abstractNum>
  <w:abstractNum w:abstractNumId="94">
    <w:nsid w:val="5675FF36"/>
    <w:multiLevelType w:val="hybridMultilevel"/>
    <w:lvl w:ilvl="0">
      <w:lvlJc w:val="left"/>
      <w:lvlText w:val="%1."/>
      <w:numFmt w:val="lowerRoman"/>
      <w:start w:val="3"/>
    </w:lvl>
  </w:abstractNum>
  <w:abstractNum w:abstractNumId="95">
    <w:nsid w:val="3DD15094"/>
    <w:multiLevelType w:val="hybridMultilevel"/>
    <w:lvl w:ilvl="0">
      <w:lvlJc w:val="left"/>
      <w:lvlText w:val="%1."/>
      <w:numFmt w:val="lowerLetter"/>
      <w:start w:val="4"/>
    </w:lvl>
  </w:abstractNum>
  <w:abstractNum w:abstractNumId="96">
    <w:nsid w:val="3DB012B3"/>
    <w:multiLevelType w:val="hybridMultilevel"/>
    <w:lvl w:ilvl="0">
      <w:lvlJc w:val="left"/>
      <w:lvlText w:val="%1."/>
      <w:numFmt w:val="decimal"/>
      <w:start w:val="6"/>
    </w:lvl>
  </w:abstractNum>
  <w:abstractNum w:abstractNumId="97">
    <w:nsid w:val="2708C9AF"/>
    <w:multiLevelType w:val="hybridMultilevel"/>
    <w:lvl w:ilvl="0">
      <w:lvlJc w:val="left"/>
      <w:lvlText w:val="%1."/>
      <w:numFmt w:val="lowerLetter"/>
      <w:start w:val="1"/>
    </w:lvl>
    <w:lvl w:ilvl="1">
      <w:lvlJc w:val="left"/>
      <w:lvlText w:val="%2."/>
      <w:numFmt w:val="lowerLetter"/>
      <w:start w:val="9"/>
    </w:lvl>
  </w:abstractNum>
  <w:abstractNum w:abstractNumId="98">
    <w:nsid w:val="5B25ACE2"/>
    <w:multiLevelType w:val="hybridMultilevel"/>
    <w:lvl w:ilvl="0">
      <w:lvlJc w:val="left"/>
      <w:lvlText w:val="%1."/>
      <w:numFmt w:val="lowerRoman"/>
      <w:start w:val="3"/>
    </w:lvl>
  </w:abstractNum>
  <w:abstractNum w:abstractNumId="99">
    <w:nsid w:val="175DFCF0"/>
    <w:multiLevelType w:val="hybridMultilevel"/>
    <w:lvl w:ilvl="0">
      <w:lvlJc w:val="left"/>
      <w:lvlText w:val="%1."/>
      <w:numFmt w:val="lowerRoman"/>
      <w:start w:val="11"/>
    </w:lvl>
  </w:abstractNum>
  <w:abstractNum w:abstractNumId="100">
    <w:nsid w:val="4F97E3E4"/>
    <w:multiLevelType w:val="hybridMultilevel"/>
    <w:lvl w:ilvl="0">
      <w:lvlJc w:val="left"/>
      <w:lvlText w:val="%1."/>
      <w:numFmt w:val="lowerLetter"/>
      <w:start w:val="2"/>
    </w:lvl>
  </w:abstractNum>
  <w:abstractNum w:abstractNumId="101">
    <w:nsid w:val="53B0A9E"/>
    <w:multiLevelType w:val="hybridMultilevel"/>
    <w:lvl w:ilvl="0">
      <w:lvlJc w:val="left"/>
      <w:lvlText w:val="%1."/>
      <w:numFmt w:val="decimal"/>
      <w:start w:val="7"/>
    </w:lvl>
  </w:abstractNum>
  <w:abstractNum w:abstractNumId="102">
    <w:nsid w:val="34FD6B4F"/>
    <w:multiLevelType w:val="hybridMultilevel"/>
    <w:lvl w:ilvl="0">
      <w:lvlJc w:val="left"/>
      <w:lvlText w:val="%1."/>
      <w:numFmt w:val="lowerLetter"/>
      <w:start w:val="1"/>
    </w:lvl>
  </w:abstractNum>
  <w:abstractNum w:abstractNumId="103">
    <w:nsid w:val="5915FF32"/>
    <w:multiLevelType w:val="hybridMultilevel"/>
    <w:lvl w:ilvl="0">
      <w:lvlJc w:val="left"/>
      <w:lvlText w:val="%1."/>
      <w:numFmt w:val="lowerLetter"/>
      <w:start w:val="2"/>
    </w:lvl>
  </w:abstractNum>
  <w:abstractNum w:abstractNumId="104">
    <w:nsid w:val="56438D15"/>
    <w:multiLevelType w:val="hybridMultilevel"/>
    <w:lvl w:ilvl="0">
      <w:lvlJc w:val="left"/>
      <w:lvlText w:val="%1."/>
      <w:numFmt w:val="lowerLetter"/>
      <w:start w:val="1"/>
    </w:lvl>
  </w:abstractNum>
  <w:abstractNum w:abstractNumId="105">
    <w:nsid w:val="519E3149"/>
    <w:multiLevelType w:val="hybridMultilevel"/>
    <w:lvl w:ilvl="0">
      <w:lvlJc w:val="left"/>
      <w:lvlText w:val="%1."/>
      <w:numFmt w:val="lowerLetter"/>
      <w:start w:val="2"/>
    </w:lvl>
    <w:lvl w:ilvl="1">
      <w:lvlJc w:val="left"/>
      <w:lvlText w:val="(%2)"/>
      <w:numFmt w:val="lowerRoman"/>
      <w:start w:val="2"/>
    </w:lvl>
  </w:abstractNum>
  <w:abstractNum w:abstractNumId="106">
    <w:nsid w:val="2C6E4AFD"/>
    <w:multiLevelType w:val="hybridMultilevel"/>
    <w:lvl w:ilvl="0">
      <w:lvlJc w:val="left"/>
      <w:lvlText w:val="%1."/>
      <w:numFmt w:val="decimal"/>
      <w:start w:val="8"/>
    </w:lvl>
  </w:abstractNum>
  <w:abstractNum w:abstractNumId="107">
    <w:nsid w:val="17A1B582"/>
    <w:multiLevelType w:val="hybridMultilevel"/>
    <w:lvl w:ilvl="0">
      <w:lvlJc w:val="left"/>
      <w:lvlText w:val="%1."/>
      <w:numFmt w:val="decimal"/>
      <w:start w:val="9"/>
    </w:lvl>
  </w:abstractNum>
  <w:abstractNum w:abstractNumId="108">
    <w:nsid w:val="4DF72E4E"/>
    <w:multiLevelType w:val="hybridMultilevel"/>
    <w:lvl w:ilvl="0">
      <w:lvlJc w:val="left"/>
      <w:lvlText w:val="%1."/>
      <w:numFmt w:val="decimal"/>
      <w:start w:val="10"/>
    </w:lvl>
  </w:abstractNum>
  <w:abstractNum w:abstractNumId="109">
    <w:nsid w:val="5046B5A9"/>
    <w:multiLevelType w:val="hybridMultilevel"/>
    <w:lvl w:ilvl="0">
      <w:lvlJc w:val="left"/>
      <w:lvlText w:val="%1."/>
      <w:numFmt w:val="lowerLetter"/>
      <w:start w:val="1"/>
    </w:lvl>
  </w:abstractNum>
  <w:abstractNum w:abstractNumId="110">
    <w:nsid w:val="5D888A08"/>
    <w:multiLevelType w:val="hybridMultilevel"/>
    <w:lvl w:ilvl="0">
      <w:lvlJc w:val="left"/>
      <w:lvlText w:val="%1."/>
      <w:numFmt w:val="decimal"/>
      <w:start w:val="11"/>
    </w:lvl>
  </w:abstractNum>
  <w:abstractNum w:abstractNumId="111">
    <w:nsid w:val="2A082C70"/>
    <w:multiLevelType w:val="hybridMultilevel"/>
    <w:lvl w:ilvl="0">
      <w:lvlJc w:val="left"/>
      <w:lvlText w:val="%1."/>
      <w:numFmt w:val="lowerLetter"/>
      <w:start w:val="1"/>
    </w:lvl>
  </w:abstractNum>
  <w:abstractNum w:abstractNumId="112">
    <w:nsid w:val="5EC6AFD4"/>
    <w:multiLevelType w:val="hybridMultilevel"/>
    <w:lvl w:ilvl="0">
      <w:lvlJc w:val="left"/>
      <w:lvlText w:val="%1."/>
      <w:numFmt w:val="lowerLetter"/>
      <w:start w:val="2"/>
    </w:lvl>
  </w:abstractNum>
  <w:abstractNum w:abstractNumId="113">
    <w:nsid w:val="19E21BB2"/>
    <w:multiLevelType w:val="hybridMultilevel"/>
    <w:lvl w:ilvl="0">
      <w:lvlJc w:val="left"/>
      <w:lvlText w:val="%1."/>
      <w:numFmt w:val="decimal"/>
      <w:start w:val="12"/>
    </w:lvl>
  </w:abstractNum>
  <w:abstractNum w:abstractNumId="114">
    <w:nsid w:val="75E0858A"/>
    <w:multiLevelType w:val="hybridMultilevel"/>
    <w:lvl w:ilvl="0">
      <w:lvlJc w:val="left"/>
      <w:lvlText w:val="%1."/>
      <w:numFmt w:val="decimal"/>
      <w:start w:val="13"/>
    </w:lvl>
  </w:abstractNum>
  <w:abstractNum w:abstractNumId="115">
    <w:nsid w:val="57A61A29"/>
    <w:multiLevelType w:val="hybridMultilevel"/>
    <w:lvl w:ilvl="0">
      <w:lvlJc w:val="left"/>
      <w:lvlText w:val="%1."/>
      <w:numFmt w:val="lowerLetter"/>
      <w:start w:val="1"/>
    </w:lvl>
  </w:abstractNum>
  <w:abstractNum w:abstractNumId="116">
    <w:nsid w:val="5399C654"/>
    <w:multiLevelType w:val="hybridMultilevel"/>
    <w:lvl w:ilvl="0">
      <w:lvlJc w:val="left"/>
      <w:lvlText w:val="%1."/>
      <w:numFmt w:val="lowerRoman"/>
      <w:start w:val="3"/>
    </w:lvl>
    <w:lvl w:ilvl="1">
      <w:lvlJc w:val="left"/>
      <w:lvlText w:val="%2."/>
      <w:numFmt w:val="upperLetter"/>
      <w:start w:val="1"/>
    </w:lvl>
  </w:abstractNum>
  <w:abstractNum w:abstractNumId="117">
    <w:nsid w:val="20EE1348"/>
    <w:multiLevelType w:val="hybridMultilevel"/>
    <w:lvl w:ilvl="0">
      <w:lvlJc w:val="left"/>
      <w:lvlText w:val="%1."/>
      <w:numFmt w:val="lowerLetter"/>
      <w:start w:val="2"/>
    </w:lvl>
  </w:abstractNum>
  <w:abstractNum w:abstractNumId="118">
    <w:nsid w:val="4427069A"/>
    <w:multiLevelType w:val="hybridMultilevel"/>
    <w:lvl w:ilvl="0">
      <w:lvlJc w:val="left"/>
      <w:lvlText w:val="%1."/>
      <w:numFmt w:val="lowerLetter"/>
      <w:start w:val="3"/>
    </w:lvl>
  </w:abstractNum>
  <w:abstractNum w:abstractNumId="119">
    <w:nsid w:val="B37E80A"/>
    <w:multiLevelType w:val="hybridMultilevel"/>
    <w:lvl w:ilvl="0">
      <w:lvlJc w:val="left"/>
      <w:lvlText w:val="%1."/>
      <w:numFmt w:val="decimal"/>
      <w:start w:val="14"/>
    </w:lvl>
  </w:abstractNum>
  <w:abstractNum w:abstractNumId="120">
    <w:nsid w:val="2157F6BC"/>
    <w:multiLevelType w:val="hybridMultilevel"/>
    <w:lvl w:ilvl="0">
      <w:lvlJc w:val="left"/>
      <w:lvlText w:val="%1."/>
      <w:numFmt w:val="lowerLetter"/>
      <w:start w:val="1"/>
    </w:lvl>
  </w:abstractNum>
  <w:abstractNum w:abstractNumId="121">
    <w:nsid w:val="704E1DD5"/>
    <w:multiLevelType w:val="hybridMultilevel"/>
    <w:lvl w:ilvl="0">
      <w:lvlJc w:val="left"/>
      <w:lvlText w:val="%1."/>
      <w:numFmt w:val="lowerLetter"/>
      <w:start w:val="2"/>
    </w:lvl>
  </w:abstractNum>
  <w:abstractNum w:abstractNumId="122">
    <w:nsid w:val="57D2F10E"/>
    <w:multiLevelType w:val="hybridMultilevel"/>
    <w:lvl w:ilvl="0">
      <w:lvlJc w:val="left"/>
      <w:lvlText w:val="%1."/>
      <w:numFmt w:val="decimal"/>
      <w:start w:val="15"/>
    </w:lvl>
  </w:abstractNum>
  <w:abstractNum w:abstractNumId="123">
    <w:nsid w:val="BFFAE18"/>
    <w:multiLevelType w:val="hybridMultilevel"/>
    <w:lvl w:ilvl="0">
      <w:lvlJc w:val="left"/>
      <w:lvlText w:val="%1."/>
      <w:numFmt w:val="decimal"/>
      <w:start w:val="16"/>
    </w:lvl>
  </w:abstractNum>
  <w:abstractNum w:abstractNumId="124">
    <w:nsid w:val="E3E47A8"/>
    <w:multiLevelType w:val="hybridMultilevel"/>
    <w:lvl w:ilvl="0">
      <w:lvlJc w:val="left"/>
      <w:lvlText w:val="%1."/>
      <w:numFmt w:val="decimal"/>
      <w:start w:val="17"/>
    </w:lvl>
  </w:abstractNum>
  <w:abstractNum w:abstractNumId="125">
    <w:nsid w:val="2E48F044"/>
    <w:multiLevelType w:val="hybridMultilevel"/>
    <w:lvl w:ilvl="0">
      <w:lvlJc w:val="left"/>
      <w:lvlText w:val="%1."/>
      <w:numFmt w:val="decimal"/>
      <w:start w:val="18"/>
    </w:lvl>
  </w:abstractNum>
  <w:abstractNum w:abstractNumId="126">
    <w:nsid w:val="49D0FEAC"/>
    <w:multiLevelType w:val="hybridMultilevel"/>
    <w:lvl w:ilvl="0">
      <w:lvlJc w:val="left"/>
      <w:lvlText w:val="%1."/>
      <w:numFmt w:val="decimal"/>
      <w:start w:val="19"/>
    </w:lvl>
  </w:abstractNum>
  <w:abstractNum w:abstractNumId="127">
    <w:nsid w:val="4BEE5A5B"/>
    <w:multiLevelType w:val="hybridMultilevel"/>
    <w:lvl w:ilvl="0">
      <w:lvlJc w:val="left"/>
      <w:lvlText w:val="%1."/>
      <w:numFmt w:val="decimal"/>
      <w:start w:val="20"/>
    </w:lvl>
  </w:abstractNum>
  <w:abstractNum w:abstractNumId="128">
    <w:nsid w:val="5551B9F3"/>
    <w:multiLevelType w:val="hybridMultilevel"/>
    <w:lvl w:ilvl="0">
      <w:lvlJc w:val="left"/>
      <w:lvlText w:val="%1."/>
      <w:numFmt w:val="decimal"/>
      <w:start w:val="21"/>
    </w:lvl>
  </w:abstractNum>
  <w:abstractNum w:abstractNumId="129">
    <w:nsid w:val="24F6AB8E"/>
    <w:multiLevelType w:val="hybridMultilevel"/>
    <w:lvl w:ilvl="0">
      <w:lvlJc w:val="left"/>
      <w:lvlText w:val="%1."/>
      <w:numFmt w:val="decimal"/>
      <w:start w:val="22"/>
    </w:lvl>
  </w:abstractNum>
  <w:abstractNum w:abstractNumId="130">
    <w:nsid w:val="634C574C"/>
    <w:multiLevelType w:val="hybridMultilevel"/>
    <w:lvl w:ilvl="0">
      <w:lvlJc w:val="left"/>
      <w:lvlText w:val="%1."/>
      <w:numFmt w:val="lowerLetter"/>
      <w:start w:val="1"/>
    </w:lvl>
  </w:abstractNum>
  <w:abstractNum w:abstractNumId="131">
    <w:nsid w:val="24E99DD7"/>
    <w:multiLevelType w:val="hybridMultilevel"/>
    <w:lvl w:ilvl="0">
      <w:lvlJc w:val="left"/>
      <w:lvlText w:val="%1."/>
      <w:numFmt w:val="lowerLetter"/>
      <w:start w:val="3"/>
    </w:lvl>
  </w:abstractNum>
  <w:abstractNum w:abstractNumId="132">
    <w:nsid w:val="2A31B62D"/>
    <w:multiLevelType w:val="hybridMultilevel"/>
    <w:lvl w:ilvl="0">
      <w:lvlJc w:val="left"/>
      <w:lvlText w:val="%1."/>
      <w:numFmt w:val="decimal"/>
      <w:start w:val="23"/>
    </w:lvl>
  </w:abstractNum>
  <w:abstractNum w:abstractNumId="133">
    <w:nsid w:val="1849C29B"/>
    <w:multiLevelType w:val="hybridMultilevel"/>
    <w:lvl w:ilvl="0">
      <w:lvlJc w:val="left"/>
      <w:lvlText w:val="%1."/>
      <w:numFmt w:val="decimal"/>
      <w:start w:val="24"/>
    </w:lvl>
  </w:abstractNum>
  <w:abstractNum w:abstractNumId="134">
    <w:nsid w:val="7DFF9D09"/>
    <w:multiLevelType w:val="hybridMultilevel"/>
    <w:lvl w:ilvl="0">
      <w:lvlJc w:val="left"/>
      <w:lvlText w:val="%1."/>
      <w:numFmt w:val="lowerLetter"/>
      <w:start w:val="1"/>
    </w:lvl>
    <w:lvl w:ilvl="1">
      <w:lvlJc w:val="left"/>
      <w:lvlText w:val="(%2)"/>
      <w:numFmt w:val="lowerRoman"/>
      <w:start w:val="2"/>
    </w:lvl>
  </w:abstractNum>
  <w:abstractNum w:abstractNumId="135">
    <w:nsid w:val="754342"/>
    <w:multiLevelType w:val="hybridMultilevel"/>
    <w:lvl w:ilvl="0">
      <w:lvlJc w:val="left"/>
      <w:lvlText w:val="%1."/>
      <w:numFmt w:val="lowerLetter"/>
      <w:start w:val="3"/>
    </w:lvl>
  </w:abstractNum>
  <w:abstractNum w:abstractNumId="136">
    <w:nsid w:val="69E7F3E5"/>
    <w:multiLevelType w:val="hybridMultilevel"/>
    <w:lvl w:ilvl="0">
      <w:lvlJc w:val="left"/>
      <w:lvlText w:val="%1."/>
      <w:numFmt w:val="lowerLetter"/>
      <w:start w:val="8"/>
    </w:lvl>
    <w:lvl w:ilvl="1">
      <w:lvlJc w:val="left"/>
      <w:lvlText w:val="(%2)"/>
      <w:numFmt w:val="lowerRoman"/>
      <w:start w:val="6"/>
    </w:lvl>
  </w:abstractNum>
  <w:abstractNum w:abstractNumId="137">
    <w:nsid w:val="2A6DE806"/>
    <w:multiLevelType w:val="hybridMultilevel"/>
    <w:lvl w:ilvl="0">
      <w:lvlJc w:val="left"/>
      <w:lvlText w:val="%1."/>
      <w:numFmt w:val="decimal"/>
      <w:start w:val="25"/>
    </w:lvl>
  </w:abstractNum>
  <w:abstractNum w:abstractNumId="138">
    <w:nsid w:val="1816F8C4"/>
    <w:multiLevelType w:val="hybridMultilevel"/>
    <w:lvl w:ilvl="0">
      <w:lvlJc w:val="left"/>
      <w:lvlText w:val="(%1)"/>
      <w:numFmt w:val="lowerRoman"/>
      <w:start w:val="1"/>
    </w:lvl>
  </w:abstractNum>
  <w:abstractNum w:abstractNumId="139">
    <w:nsid w:val="37DF2233"/>
    <w:multiLevelType w:val="hybridMultilevel"/>
    <w:lvl w:ilvl="0">
      <w:lvlJc w:val="left"/>
      <w:lvlText w:val="(%1)"/>
      <w:numFmt w:val="lowerLetter"/>
      <w:start w:val="25"/>
    </w:lvl>
  </w:abstractNum>
  <w:abstractNum w:abstractNumId="140">
    <w:nsid w:val="7AB49DAF"/>
    <w:multiLevelType w:val="hybridMultilevel"/>
    <w:lvl w:ilvl="0">
      <w:lvlJc w:val="left"/>
      <w:lvlText w:val="(%1)"/>
      <w:numFmt w:val="lowerRoman"/>
      <w:start w:val="2"/>
    </w:lvl>
  </w:abstractNum>
  <w:abstractNum w:abstractNumId="141">
    <w:nsid w:val="759F82CD"/>
    <w:multiLevelType w:val="hybridMultilevel"/>
    <w:lvl w:ilvl="0">
      <w:lvlJc w:val="left"/>
      <w:lvlText w:val="%1."/>
      <w:numFmt w:val="decimal"/>
      <w:start w:val="1"/>
    </w:lvl>
  </w:abstractNum>
  <w:abstractNum w:abstractNumId="142">
    <w:nsid w:val="61E74EA3"/>
    <w:multiLevelType w:val="hybridMultilevel"/>
    <w:lvl w:ilvl="0">
      <w:lvlJc w:val="left"/>
      <w:lvlText w:val="(%1)"/>
      <w:numFmt w:val="decimal"/>
      <w:start w:val="1"/>
    </w:lvl>
    <w:lvl w:ilvl="1">
      <w:lvlJc w:val="left"/>
      <w:lvlText w:val="%2)"/>
      <w:numFmt w:val="lowerLetter"/>
      <w:start w:val="1"/>
    </w:lvl>
  </w:abstractNum>
  <w:abstractNum w:abstractNumId="143">
    <w:nsid w:val="597B4D84"/>
    <w:multiLevelType w:val="hybridMultilevel"/>
    <w:lvl w:ilvl="0">
      <w:lvlJc w:val="left"/>
      <w:lvlText w:val="(%1)"/>
      <w:numFmt w:val="decimal"/>
      <w:start w:val="1"/>
    </w:lvl>
    <w:lvl w:ilvl="1">
      <w:lvlJc w:val="left"/>
      <w:lvlText w:val="%2)"/>
      <w:numFmt w:val="lowerLetter"/>
      <w:start w:val="1"/>
    </w:lvl>
  </w:abstractNum>
  <w:abstractNum w:abstractNumId="144">
    <w:nsid w:val="F819E7F"/>
    <w:multiLevelType w:val="hybridMultilevel"/>
    <w:lvl w:ilvl="0">
      <w:lvlJc w:val="left"/>
      <w:lvlText w:val="(%1)"/>
      <w:numFmt w:val="decimal"/>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215" Type="http://schemas.openxmlformats.org/officeDocument/2006/relationships/image" Target="media/image171.png"/><Relationship Id="rId237" Type="http://schemas.openxmlformats.org/officeDocument/2006/relationships/image" Target="media/image172.png"/><Relationship Id="rId262" Type="http://schemas.openxmlformats.org/officeDocument/2006/relationships/image" Target="media/image173.png"/><Relationship Id="rId269" Type="http://schemas.openxmlformats.org/officeDocument/2006/relationships/image" Target="media/image174.png"/><Relationship Id="rId270" Type="http://schemas.openxmlformats.org/officeDocument/2006/relationships/image" Target="media/image175.png"/><Relationship Id="rId271" Type="http://schemas.openxmlformats.org/officeDocument/2006/relationships/image" Target="media/image176.png"/><Relationship Id="rId272" Type="http://schemas.openxmlformats.org/officeDocument/2006/relationships/image" Target="media/image177.png"/><Relationship Id="rId273" Type="http://schemas.openxmlformats.org/officeDocument/2006/relationships/image" Target="media/image178.png"/><Relationship Id="rId274" Type="http://schemas.openxmlformats.org/officeDocument/2006/relationships/image" Target="media/image179.png"/><Relationship Id="rId275" Type="http://schemas.openxmlformats.org/officeDocument/2006/relationships/image" Target="media/image180.png"/><Relationship Id="rId276" Type="http://schemas.openxmlformats.org/officeDocument/2006/relationships/image" Target="media/image181.png"/><Relationship Id="rId277" Type="http://schemas.openxmlformats.org/officeDocument/2006/relationships/image" Target="media/image182.png"/><Relationship Id="rId278" Type="http://schemas.openxmlformats.org/officeDocument/2006/relationships/image" Target="media/image183.png"/><Relationship Id="rId279" Type="http://schemas.openxmlformats.org/officeDocument/2006/relationships/image" Target="media/image184.png"/><Relationship Id="rId280" Type="http://schemas.openxmlformats.org/officeDocument/2006/relationships/image" Target="media/image185.png"/><Relationship Id="rId281" Type="http://schemas.openxmlformats.org/officeDocument/2006/relationships/image" Target="media/image186.png"/><Relationship Id="rId282" Type="http://schemas.openxmlformats.org/officeDocument/2006/relationships/image" Target="media/image187.png"/><Relationship Id="rId283" Type="http://schemas.openxmlformats.org/officeDocument/2006/relationships/image" Target="media/image188.png"/><Relationship Id="rId284" Type="http://schemas.openxmlformats.org/officeDocument/2006/relationships/image" Target="media/image189.png"/><Relationship Id="rId285" Type="http://schemas.openxmlformats.org/officeDocument/2006/relationships/image" Target="media/image190.png"/><Relationship Id="rId286" Type="http://schemas.openxmlformats.org/officeDocument/2006/relationships/image" Target="media/image191.png"/><Relationship Id="rId287" Type="http://schemas.openxmlformats.org/officeDocument/2006/relationships/image" Target="media/image192.png"/><Relationship Id="rId288" Type="http://schemas.openxmlformats.org/officeDocument/2006/relationships/image" Target="media/image193.png"/><Relationship Id="rId289" Type="http://schemas.openxmlformats.org/officeDocument/2006/relationships/image" Target="media/image194.png"/><Relationship Id="rId290" Type="http://schemas.openxmlformats.org/officeDocument/2006/relationships/image" Target="media/image195.png"/><Relationship Id="rId291" Type="http://schemas.openxmlformats.org/officeDocument/2006/relationships/image" Target="media/image196.png"/><Relationship Id="rId292" Type="http://schemas.openxmlformats.org/officeDocument/2006/relationships/image" Target="media/image197.png"/><Relationship Id="rId293" Type="http://schemas.openxmlformats.org/officeDocument/2006/relationships/image" Target="media/image198.png"/><Relationship Id="rId294" Type="http://schemas.openxmlformats.org/officeDocument/2006/relationships/image" Target="media/image199.png"/><Relationship Id="rId295" Type="http://schemas.openxmlformats.org/officeDocument/2006/relationships/image" Target="media/image200.png"/><Relationship Id="rId296" Type="http://schemas.openxmlformats.org/officeDocument/2006/relationships/image" Target="media/image201.png"/><Relationship Id="rId297" Type="http://schemas.openxmlformats.org/officeDocument/2006/relationships/image" Target="media/image202.png"/><Relationship Id="rId298" Type="http://schemas.openxmlformats.org/officeDocument/2006/relationships/image" Target="media/image203.png"/><Relationship Id="rId299" Type="http://schemas.openxmlformats.org/officeDocument/2006/relationships/image" Target="media/image204.png"/><Relationship Id="rId300" Type="http://schemas.openxmlformats.org/officeDocument/2006/relationships/image" Target="media/image205.png"/><Relationship Id="rId301" Type="http://schemas.openxmlformats.org/officeDocument/2006/relationships/image" Target="media/image206.png"/><Relationship Id="rId302" Type="http://schemas.openxmlformats.org/officeDocument/2006/relationships/image" Target="media/image207.png"/><Relationship Id="rId303" Type="http://schemas.openxmlformats.org/officeDocument/2006/relationships/image" Target="media/image208.png"/><Relationship Id="rId304" Type="http://schemas.openxmlformats.org/officeDocument/2006/relationships/image" Target="media/image209.png"/><Relationship Id="rId305" Type="http://schemas.openxmlformats.org/officeDocument/2006/relationships/image" Target="media/image210.png"/><Relationship Id="rId306" Type="http://schemas.openxmlformats.org/officeDocument/2006/relationships/image" Target="media/image211.png"/><Relationship Id="rId307" Type="http://schemas.openxmlformats.org/officeDocument/2006/relationships/image" Target="media/image212.png"/><Relationship Id="rId308" Type="http://schemas.openxmlformats.org/officeDocument/2006/relationships/image" Target="media/image213.png"/><Relationship Id="rId309" Type="http://schemas.openxmlformats.org/officeDocument/2006/relationships/image" Target="media/image214.png"/><Relationship Id="rId310" Type="http://schemas.openxmlformats.org/officeDocument/2006/relationships/image" Target="media/image215.png"/><Relationship Id="rId311" Type="http://schemas.openxmlformats.org/officeDocument/2006/relationships/image" Target="media/image216.png"/><Relationship Id="rId312" Type="http://schemas.openxmlformats.org/officeDocument/2006/relationships/image" Target="media/image217.png"/><Relationship Id="rId313" Type="http://schemas.openxmlformats.org/officeDocument/2006/relationships/image" Target="media/image218.png"/><Relationship Id="rId314" Type="http://schemas.openxmlformats.org/officeDocument/2006/relationships/image" Target="media/image219.png"/><Relationship Id="rId315" Type="http://schemas.openxmlformats.org/officeDocument/2006/relationships/image" Target="media/image220.png"/><Relationship Id="rId316" Type="http://schemas.openxmlformats.org/officeDocument/2006/relationships/image" Target="media/image221.png"/><Relationship Id="rId317" Type="http://schemas.openxmlformats.org/officeDocument/2006/relationships/image" Target="media/image222.png"/><Relationship Id="rId318" Type="http://schemas.openxmlformats.org/officeDocument/2006/relationships/image" Target="media/image223.png"/><Relationship Id="rId319" Type="http://schemas.openxmlformats.org/officeDocument/2006/relationships/image" Target="media/image224.png"/><Relationship Id="rId320" Type="http://schemas.openxmlformats.org/officeDocument/2006/relationships/image" Target="media/image225.png"/><Relationship Id="rId321" Type="http://schemas.openxmlformats.org/officeDocument/2006/relationships/image" Target="media/image226.png"/><Relationship Id="rId322" Type="http://schemas.openxmlformats.org/officeDocument/2006/relationships/image" Target="media/image227.png"/><Relationship Id="rId323" Type="http://schemas.openxmlformats.org/officeDocument/2006/relationships/image" Target="media/image228.png"/><Relationship Id="rId324" Type="http://schemas.openxmlformats.org/officeDocument/2006/relationships/image" Target="media/image229.png"/><Relationship Id="rId325" Type="http://schemas.openxmlformats.org/officeDocument/2006/relationships/image" Target="media/image230.png"/><Relationship Id="rId326" Type="http://schemas.openxmlformats.org/officeDocument/2006/relationships/image" Target="media/image231.png"/><Relationship Id="rId327" Type="http://schemas.openxmlformats.org/officeDocument/2006/relationships/image" Target="media/image232.png"/><Relationship Id="rId328" Type="http://schemas.openxmlformats.org/officeDocument/2006/relationships/image" Target="media/image233.png"/><Relationship Id="rId329" Type="http://schemas.openxmlformats.org/officeDocument/2006/relationships/image" Target="media/image234.png"/><Relationship Id="rId330" Type="http://schemas.openxmlformats.org/officeDocument/2006/relationships/image" Target="media/image235.png"/><Relationship Id="rId331" Type="http://schemas.openxmlformats.org/officeDocument/2006/relationships/image" Target="media/image236.png"/><Relationship Id="rId332" Type="http://schemas.openxmlformats.org/officeDocument/2006/relationships/image" Target="media/image237.png"/><Relationship Id="rId333" Type="http://schemas.openxmlformats.org/officeDocument/2006/relationships/image" Target="media/image238.png"/><Relationship Id="rId334" Type="http://schemas.openxmlformats.org/officeDocument/2006/relationships/image" Target="media/image239.png"/><Relationship Id="rId335" Type="http://schemas.openxmlformats.org/officeDocument/2006/relationships/image" Target="media/image240.png"/><Relationship Id="rId336" Type="http://schemas.openxmlformats.org/officeDocument/2006/relationships/image" Target="media/image241.png"/><Relationship Id="rId337" Type="http://schemas.openxmlformats.org/officeDocument/2006/relationships/image" Target="media/image242.png"/><Relationship Id="rId338" Type="http://schemas.openxmlformats.org/officeDocument/2006/relationships/image" Target="media/image243.png"/><Relationship Id="rId339" Type="http://schemas.openxmlformats.org/officeDocument/2006/relationships/image" Target="media/image244.png"/><Relationship Id="rId340" Type="http://schemas.openxmlformats.org/officeDocument/2006/relationships/image" Target="media/image245.png"/><Relationship Id="rId341" Type="http://schemas.openxmlformats.org/officeDocument/2006/relationships/image" Target="media/image246.png"/><Relationship Id="rId342" Type="http://schemas.openxmlformats.org/officeDocument/2006/relationships/image" Target="media/image247.png"/><Relationship Id="rId343" Type="http://schemas.openxmlformats.org/officeDocument/2006/relationships/image" Target="media/image248.png"/><Relationship Id="rId344" Type="http://schemas.openxmlformats.org/officeDocument/2006/relationships/image" Target="media/image249.png"/><Relationship Id="rId345" Type="http://schemas.openxmlformats.org/officeDocument/2006/relationships/image" Target="media/image250.png"/><Relationship Id="rId346" Type="http://schemas.openxmlformats.org/officeDocument/2006/relationships/image" Target="media/image251.png"/><Relationship Id="rId347" Type="http://schemas.openxmlformats.org/officeDocument/2006/relationships/image" Target="media/image252.png"/><Relationship Id="rId348" Type="http://schemas.openxmlformats.org/officeDocument/2006/relationships/image" Target="media/image253.png"/><Relationship Id="rId349" Type="http://schemas.openxmlformats.org/officeDocument/2006/relationships/image" Target="media/image254.png"/><Relationship Id="rId350" Type="http://schemas.openxmlformats.org/officeDocument/2006/relationships/image" Target="media/image255.png"/><Relationship Id="rId351" Type="http://schemas.openxmlformats.org/officeDocument/2006/relationships/image" Target="media/image256.png"/><Relationship Id="rId352" Type="http://schemas.openxmlformats.org/officeDocument/2006/relationships/image" Target="media/image257.png"/><Relationship Id="rId353" Type="http://schemas.openxmlformats.org/officeDocument/2006/relationships/image" Target="media/image258.png"/><Relationship Id="rId354" Type="http://schemas.openxmlformats.org/officeDocument/2006/relationships/image" Target="media/image259.png"/><Relationship Id="rId355" Type="http://schemas.openxmlformats.org/officeDocument/2006/relationships/image" Target="media/image260.png"/><Relationship Id="rId356" Type="http://schemas.openxmlformats.org/officeDocument/2006/relationships/image" Target="media/image261.png"/><Relationship Id="rId176" Type="http://schemas.openxmlformats.org/officeDocument/2006/relationships/hyperlink" Target="http://www.sec.gov/Archives/edgar/data/882104/000110465908078237/a08-30875_1ex10d1.htm" TargetMode="External"/><Relationship Id="rId177" Type="http://schemas.openxmlformats.org/officeDocument/2006/relationships/hyperlink" Target="http://www.sec.gov/Archives/edgar/data/882104/000119312509042557/dex22.htm" TargetMode="External"/><Relationship Id="rId178" Type="http://schemas.openxmlformats.org/officeDocument/2006/relationships/hyperlink" Target="http://www.sec.gov/Archives/edgar/data/882104/000088210402000004/exh3-3.htm" TargetMode="External"/><Relationship Id="rId179" Type="http://schemas.openxmlformats.org/officeDocument/2006/relationships/hyperlink" Target="http://www.sec.gov/Archives/edgar/data/882104/000119312506004266/dex991.htm" TargetMode="External"/><Relationship Id="rId180" Type="http://schemas.openxmlformats.org/officeDocument/2006/relationships/hyperlink" Target="http://www.sec.gov/Archives/edgar/data/882104/000119312506186027/dex34.htm" TargetMode="External"/><Relationship Id="rId181" Type="http://schemas.openxmlformats.org/officeDocument/2006/relationships/hyperlink" Target="http://www.sec.gov/Archives/edgar/data/882104/000088210420000150/a202009018-kex32.htm" TargetMode="External"/><Relationship Id="rId182" Type="http://schemas.openxmlformats.org/officeDocument/2006/relationships/hyperlink" Target="http://www.sec.gov/Archives/edgar/data/882104/000088210413000026/pdli-2013621xs3xex44.htm" TargetMode="External"/><Relationship Id="rId183" Type="http://schemas.openxmlformats.org/officeDocument/2006/relationships/hyperlink" Target="http://www.sec.gov/Archives/edgar/data/882104/000088210420000150/a202009018-kex31.htm" TargetMode="External"/><Relationship Id="rId184" Type="http://schemas.openxmlformats.org/officeDocument/2006/relationships/hyperlink" Target="http://www.sec.gov/Archives/edgar/data/882104/000119312514048441/d675285dex41.htm" TargetMode="External"/><Relationship Id="rId185" Type="http://schemas.openxmlformats.org/officeDocument/2006/relationships/hyperlink" Target="http://www.sec.gov/Archives/edgar/data/882104/000088210414000006/pdli1231201310-kex49.htm" TargetMode="External"/><Relationship Id="rId186" Type="http://schemas.openxmlformats.org/officeDocument/2006/relationships/hyperlink" Target="http://www.sec.gov/Archives/edgar/data/882104/000088210416000239/a201611228-kcnex41.htm" TargetMode="External"/><Relationship Id="rId187" Type="http://schemas.openxmlformats.org/officeDocument/2006/relationships/hyperlink" Target="http://www.sec.gov/Archives/edgar/data/882104/000088210416000239/a201611228-kcnex42.htm" TargetMode="External"/><Relationship Id="rId188" Type="http://schemas.openxmlformats.org/officeDocument/2006/relationships/hyperlink" Target="http://www.sec.gov/Archives/edgar/data/882104/000088210419000101/pdli-201909178xkex41.htm" TargetMode="External"/><Relationship Id="rId189" Type="http://schemas.openxmlformats.org/officeDocument/2006/relationships/hyperlink" Target="http://www.sec.gov/Archives/edgar/data/882104/000088210419000101/pdli-201909178xkex42.htm" TargetMode="External"/><Relationship Id="rId190" Type="http://schemas.openxmlformats.org/officeDocument/2006/relationships/hyperlink" Target="http://www.sec.gov/Archives/edgar/data/882104/000110465908069729/a08-28032_1ex10d1.htm" TargetMode="External"/><Relationship Id="rId191" Type="http://schemas.openxmlformats.org/officeDocument/2006/relationships/hyperlink" Target="http://www.sec.gov/Archives/edgar/data/882104/000110465908078237/a08-30875_1ex10d3.htm" TargetMode="External"/><Relationship Id="rId194" Type="http://schemas.openxmlformats.org/officeDocument/2006/relationships/hyperlink" Target="http://www.sec.gov/Archives/edgar/data/882104/0000882104-98-000013.txt" TargetMode="External"/><Relationship Id="rId195" Type="http://schemas.openxmlformats.org/officeDocument/2006/relationships/hyperlink" Target="http://www.sec.gov/Archives/edgar/data/882104/000104746904006969/a2130121zex-10_45.htm" TargetMode="External"/><Relationship Id="rId196" Type="http://schemas.openxmlformats.org/officeDocument/2006/relationships/hyperlink" Target="http://www.sec.gov/Archives/edgar/data/882104/000119312509042557/dex1026.htm" TargetMode="External"/><Relationship Id="rId197" Type="http://schemas.openxmlformats.org/officeDocument/2006/relationships/hyperlink" Target="http://www.sec.gov/Archives/edgar/data/882104/000104746904006969/a2130121zex-10_47.htm" TargetMode="External"/><Relationship Id="rId198" Type="http://schemas.openxmlformats.org/officeDocument/2006/relationships/hyperlink" Target="http://www.sec.gov/Archives/edgar/data/882104/000114420411003691/v208867_ex10-1.htm" TargetMode="External"/><Relationship Id="rId199" Type="http://schemas.openxmlformats.org/officeDocument/2006/relationships/hyperlink" Target="http://www.sec.gov/Archives/edgar/data/882104/000119312509042557/dex1029.htm" TargetMode="External"/><Relationship Id="rId200" Type="http://schemas.openxmlformats.org/officeDocument/2006/relationships/hyperlink" Target="http://www.sec.gov/Archives/edgar/data/882104/000119312510044613/dex1029.htm" TargetMode="External"/><Relationship Id="rId201" Type="http://schemas.openxmlformats.org/officeDocument/2006/relationships/hyperlink" Target="http://www.sec.gov/Archives/edgar/data/882104/000119312510254119/dex101.htm" TargetMode="External"/><Relationship Id="rId202" Type="http://schemas.openxmlformats.org/officeDocument/2006/relationships/hyperlink" Target="http://www.sec.gov/Archives/edgar/data/882104/000119312510254119/dex102.htm" TargetMode="External"/><Relationship Id="rId203" Type="http://schemas.openxmlformats.org/officeDocument/2006/relationships/hyperlink" Target="http://www.sec.gov/Archives/edgar/data/882104/000119312510254119/dex103.htm" TargetMode="External"/><Relationship Id="rId204" Type="http://schemas.openxmlformats.org/officeDocument/2006/relationships/hyperlink" Target="http://www.sec.gov/Archives/edgar/data/882104/000143774912004447/ex10-1.htm" TargetMode="External"/><Relationship Id="rId205" Type="http://schemas.openxmlformats.org/officeDocument/2006/relationships/hyperlink" Target="http://www.sec.gov/Archives/edgar/data/882104/000144530513000433/pdli12312012ex1050.htm" TargetMode="External"/><Relationship Id="rId206" Type="http://schemas.openxmlformats.org/officeDocument/2006/relationships/hyperlink" Target="http://www.sec.gov/Archives/edgar/data/882104/000088210413000034/pdli-2013630xex101.htm" TargetMode="External"/><Relationship Id="rId207" Type="http://schemas.openxmlformats.org/officeDocument/2006/relationships/hyperlink" Target="http://www.sec.gov/Archives/edgar/data/882104/000088210413000050/pdli-2013930xex102.htm" TargetMode="External"/><Relationship Id="rId208" Type="http://schemas.openxmlformats.org/officeDocument/2006/relationships/hyperlink" Target="http://www.sec.gov/Archives/edgar/data/882104/000088210414000006/pdli1231201310-kex1056.htm" TargetMode="External"/><Relationship Id="rId209" Type="http://schemas.openxmlformats.org/officeDocument/2006/relationships/hyperlink" Target="http://www.sec.gov/Archives/edgar/data/882104/000088210414000006/pdli1231201310-kex1058.htm" TargetMode="External"/><Relationship Id="rId210" Type="http://schemas.openxmlformats.org/officeDocument/2006/relationships/hyperlink" Target="http://www.sec.gov/Archives/edgar/data/882104/000088210414000039/pdli-201433110qex102.htm" TargetMode="External"/><Relationship Id="rId211" Type="http://schemas.openxmlformats.org/officeDocument/2006/relationships/hyperlink" Target="http://www.sec.gov/Archives/edgar/data/882104/000088210414000039/pdli-201433110qex105.htm" TargetMode="External"/><Relationship Id="rId212" Type="http://schemas.openxmlformats.org/officeDocument/2006/relationships/hyperlink" Target="http://www.sec.gov/Archives/edgar/data/882104/000088210414000070/pdli-201463010qex102.htm" TargetMode="External"/><Relationship Id="rId213" Type="http://schemas.openxmlformats.org/officeDocument/2006/relationships/hyperlink" Target="http://www.sec.gov/Archives/edgar/data/882104/000088210414000070/pdli-201463010qex103.htm" TargetMode="External"/><Relationship Id="rId214" Type="http://schemas.openxmlformats.org/officeDocument/2006/relationships/hyperlink" Target="http://www.sec.gov/Archives/edgar/data/882104/000088210414000070/pdli-201463010qex104.htm" TargetMode="External"/><Relationship Id="rId216" Type="http://schemas.openxmlformats.org/officeDocument/2006/relationships/hyperlink" Target="http://www.sec.gov/Archives/edgar/data/882104/000088210415000019/pdli1231201410-kex1064.htm" TargetMode="External"/><Relationship Id="rId217" Type="http://schemas.openxmlformats.org/officeDocument/2006/relationships/hyperlink" Target="http://www.sec.gov/Archives/edgar/data/882104/000088210415000019/pdli1231201410-kex1065.htm" TargetMode="External"/><Relationship Id="rId218" Type="http://schemas.openxmlformats.org/officeDocument/2006/relationships/hyperlink" Target="http://www.sec.gov/Archives/edgar/data/882104/000088210415000019/pdli1231201410-kex1067.htm" TargetMode="External"/><Relationship Id="rId219" Type="http://schemas.openxmlformats.org/officeDocument/2006/relationships/hyperlink" Target="http://www.sec.gov/Archives/edgar/data/882104/000088210415000029/pdli-201533110qex102.htm" TargetMode="External"/><Relationship Id="rId220" Type="http://schemas.openxmlformats.org/officeDocument/2006/relationships/hyperlink" Target="http://www.sec.gov/Archives/edgar/data/882104/000088210415000050/pdli-201563010qex103.htm" TargetMode="External"/><Relationship Id="rId221" Type="http://schemas.openxmlformats.org/officeDocument/2006/relationships/hyperlink" Target="http://www.sec.gov/Archives/edgar/data/882104/000088210415000079/pdli-201593010qex102.htm" TargetMode="External"/><Relationship Id="rId222" Type="http://schemas.openxmlformats.org/officeDocument/2006/relationships/hyperlink" Target="http://www.sec.gov/Archives/edgar/data/882104/000088210416000112/pdli1231201510-kex1071.htm" TargetMode="External"/><Relationship Id="rId223" Type="http://schemas.openxmlformats.org/officeDocument/2006/relationships/hyperlink" Target="http://www.sec.gov/Archives/edgar/data/882104/000088210416000132/pdli-2016033110qex102.htm" TargetMode="External"/><Relationship Id="rId224" Type="http://schemas.openxmlformats.org/officeDocument/2006/relationships/hyperlink" Target="http://www.sec.gov/Archives/edgar/data/882104/000088210416000175/pdli-201608038xkaex21.htm" TargetMode="External"/><Relationship Id="rId225" Type="http://schemas.openxmlformats.org/officeDocument/2006/relationships/hyperlink" Target="http://www.sec.gov/Archives/edgar/data/882104/000088210416000184/pdl-2016063010qex102.htm" TargetMode="External"/><Relationship Id="rId226" Type="http://schemas.openxmlformats.org/officeDocument/2006/relationships/hyperlink" Target="http://www.sec.gov/Archives/edgar/data/882104/000088210416000184/pdli-2016063010qex104.htm" TargetMode="External"/><Relationship Id="rId227" Type="http://schemas.openxmlformats.org/officeDocument/2006/relationships/hyperlink" Target="http://www.sec.gov/Archives/edgar/data/882104/000088210416000184/pdli-2016063010qex105.htm" TargetMode="External"/><Relationship Id="rId228" Type="http://schemas.openxmlformats.org/officeDocument/2006/relationships/hyperlink" Target="http://www.sec.gov/Archives/edgar/data/882104/000088210417000013/pdli1231201610-kex1075.htm" TargetMode="External"/><Relationship Id="rId229" Type="http://schemas.openxmlformats.org/officeDocument/2006/relationships/hyperlink" Target="http://www.sec.gov/Archives/edgar/data/882104/000088210417000045/pdli-2017033110qex103.htm" TargetMode="External"/><Relationship Id="rId230" Type="http://schemas.openxmlformats.org/officeDocument/2006/relationships/hyperlink" Target="http://www.sec.gov/Archives/edgar/data/882104/000088210417000084/a201709118-kex101president.htm" TargetMode="External"/><Relationship Id="rId231" Type="http://schemas.openxmlformats.org/officeDocument/2006/relationships/hyperlink" Target="http://www.sec.gov/Archives/edgar/data/882104/000088210417000087/a20170912s-8ex991.htm" TargetMode="External"/><Relationship Id="rId232" Type="http://schemas.openxmlformats.org/officeDocument/2006/relationships/hyperlink" Target="http://www.sec.gov/Archives/edgar/data/882104/000088210417000087/a20170912s-8ex992.htm" TargetMode="External"/><Relationship Id="rId233" Type="http://schemas.openxmlformats.org/officeDocument/2006/relationships/hyperlink" Target="http://www.sec.gov/Archives/edgar/data/882104/000088210418000012/pdli1231201710-kex1071.htm" TargetMode="External"/><Relationship Id="rId234" Type="http://schemas.openxmlformats.org/officeDocument/2006/relationships/hyperlink" Target="http://www.sec.gov/Archives/edgar/data/882104/000088210418000042/a20180611s-8ex991.htm" TargetMode="External"/><Relationship Id="rId235" Type="http://schemas.openxmlformats.org/officeDocument/2006/relationships/hyperlink" Target="http://www.sec.gov/Archives/edgar/data/882104/000088210418000042/a20180611s-8ex992b.htm" TargetMode="External"/><Relationship Id="rId236" Type="http://schemas.openxmlformats.org/officeDocument/2006/relationships/hyperlink" Target="http://www.sec.gov/Archives/edgar/data/882104/000088210418000042/a20180611s-8ex993.htm" TargetMode="External"/><Relationship Id="rId238" Type="http://schemas.openxmlformats.org/officeDocument/2006/relationships/hyperlink" Target="http://www.sec.gov/Archives/edgar/data/882104/000088210418000091/pdli-2018063010qex101.htm" TargetMode="External"/><Relationship Id="rId239" Type="http://schemas.openxmlformats.org/officeDocument/2006/relationships/hyperlink" Target="http://www.sec.gov/Archives/edgar/data/882104/000088210418000091/pdli-2018063010qex102.htm" TargetMode="External"/><Relationship Id="rId240" Type="http://schemas.openxmlformats.org/officeDocument/2006/relationships/hyperlink" Target="http://www.sec.gov/Archives/edgar/data/882104/000088210418000117/pdli-2018093010qex102.htm" TargetMode="External"/><Relationship Id="rId241" Type="http://schemas.openxmlformats.org/officeDocument/2006/relationships/hyperlink" Target="http://www.sec.gov/Archives/edgar/data/882104/000088210419000030/exhibit101.htm" TargetMode="External"/><Relationship Id="rId242" Type="http://schemas.openxmlformats.org/officeDocument/2006/relationships/hyperlink" Target="http://www.sec.gov/Archives/edgar/data/882104/000088210419000031/pdli-201904118xkex101.htm" TargetMode="External"/><Relationship Id="rId243" Type="http://schemas.openxmlformats.org/officeDocument/2006/relationships/hyperlink" Target="http://www.sec.gov/Archives/edgar/data/882104/000088210419000054/pdli-2019033110qex103.htm" TargetMode="External"/><Relationship Id="rId244" Type="http://schemas.openxmlformats.org/officeDocument/2006/relationships/hyperlink" Target="http://www.sec.gov/Archives/edgar/data/882104/000088210419000063/pdli-201906248xkex101.htm" TargetMode="External"/><Relationship Id="rId245" Type="http://schemas.openxmlformats.org/officeDocument/2006/relationships/hyperlink" Target="http://www.sec.gov/Archives/edgar/data/882104/000088210419000089/pdli-2019063010qex104.htm" TargetMode="External"/><Relationship Id="rId246" Type="http://schemas.openxmlformats.org/officeDocument/2006/relationships/hyperlink" Target="http://www.sec.gov/Archives/edgar/data/882104/000088210419000093/exhibit101.htm" TargetMode="External"/><Relationship Id="rId247" Type="http://schemas.openxmlformats.org/officeDocument/2006/relationships/hyperlink" Target="http://www.sec.gov/Archives/edgar/data/882104/000088210419000099/pdli-201909138xkex101.htm" TargetMode="External"/><Relationship Id="rId248" Type="http://schemas.openxmlformats.org/officeDocument/2006/relationships/hyperlink" Target="http://www.sec.gov/Archives/edgar/data/882104/000088210420000032/pdli1231201910-kex1066.htm" TargetMode="External"/><Relationship Id="rId249" Type="http://schemas.openxmlformats.org/officeDocument/2006/relationships/hyperlink" Target="http://www.sec.gov/Archives/edgar/data/882104/000088210420000032/pdli1231201910-kex1067.htm" TargetMode="External"/><Relationship Id="rId250" Type="http://schemas.openxmlformats.org/officeDocument/2006/relationships/hyperlink" Target="http://www.sec.gov/Archives/edgar/data/882104/000088210420000032/pdli1231201910-kex1068.htm" TargetMode="External"/><Relationship Id="rId251" Type="http://schemas.openxmlformats.org/officeDocument/2006/relationships/hyperlink" Target="http://www.sec.gov/Archives/edgar/data/882104/000088210420000032/pdli1231201910-kex1069.htm" TargetMode="External"/><Relationship Id="rId252" Type="http://schemas.openxmlformats.org/officeDocument/2006/relationships/hyperlink" Target="http://www.sec.gov/Archives/edgar/data/882104/000088210420000032/pdli1231201910-kex1070.htm" TargetMode="External"/><Relationship Id="rId253" Type="http://schemas.openxmlformats.org/officeDocument/2006/relationships/hyperlink" Target="http://www.sec.gov/Archives/edgar/data/882104/000088210420000032/pdli1231201910-kex1071.htm" TargetMode="External"/><Relationship Id="rId254" Type="http://schemas.openxmlformats.org/officeDocument/2006/relationships/hyperlink" Target="http://www.sec.gov/Archives/edgar/data/882104/000088210420000032/pdli1231201910-kex1072.htm" TargetMode="External"/><Relationship Id="rId255" Type="http://schemas.openxmlformats.org/officeDocument/2006/relationships/hyperlink" Target="http://www.sec.gov/Archives/edgar/data/882104/000088210420000032/pdli1231201910-kex1073.htm" TargetMode="External"/><Relationship Id="rId256" Type="http://schemas.openxmlformats.org/officeDocument/2006/relationships/hyperlink" Target="http://www.sec.gov/Archives/edgar/data/882104/000088210420000032/pdli1231201910-kex1074.htm" TargetMode="External"/><Relationship Id="rId257" Type="http://schemas.openxmlformats.org/officeDocument/2006/relationships/hyperlink" Target="http://www.sec.gov/Archives/edgar/data/882104/000088210420000032/pdli1231201910-kex1075.htm" TargetMode="External"/><Relationship Id="rId258" Type="http://schemas.openxmlformats.org/officeDocument/2006/relationships/hyperlink" Target="http://www.sec.gov/Archives/edgar/data/882104/000088210420000032/pdli1231201910-kex1076.htm" TargetMode="External"/><Relationship Id="rId259" Type="http://schemas.openxmlformats.org/officeDocument/2006/relationships/hyperlink" Target="http://www.sec.gov/Archives/edgar/data/882104/000088210420000017/pdli-20200228ex101.htm" TargetMode="External"/><Relationship Id="rId260" Type="http://schemas.openxmlformats.org/officeDocument/2006/relationships/hyperlink" Target="http://www.sec.gov/Archives/edgar/data/882104/000088210420000071/pdli-2020033110qex102.htm" TargetMode="External"/><Relationship Id="rId261" Type="http://schemas.openxmlformats.org/officeDocument/2006/relationships/hyperlink" Target="http://www.sec.gov/Archives/edgar/data/882104/000088210420000120/pdli-2020063010qex101.htm" TargetMode="External"/><Relationship Id="rId263" Type="http://schemas.openxmlformats.org/officeDocument/2006/relationships/hyperlink" Target="http://www.sec.gov/Archives/edgar/data/882104/000088210420000181/pdli-2020093010qex101.htm" TargetMode="External"/><Relationship Id="rId264" Type="http://schemas.openxmlformats.org/officeDocument/2006/relationships/hyperlink" Target="http://www.sec.gov/Archives/edgar/data/882104/000088210420000181/pdli-2020093010qex102.htm" TargetMode="External"/><Relationship Id="rId265" Type="http://schemas.openxmlformats.org/officeDocument/2006/relationships/hyperlink" Target="http://www.sec.gov/Archives/edgar/data/882104/000088210420000126/a202008208-kex101.htm" TargetMode="External"/><Relationship Id="rId266" Type="http://schemas.openxmlformats.org/officeDocument/2006/relationships/hyperlink" Target="http://www.sec.gov/Archives/edgar/data/882104/000088210420000166/a202010018-kex101.htm" TargetMode="External"/><Relationship Id="rId267" Type="http://schemas.openxmlformats.org/officeDocument/2006/relationships/hyperlink" Target="http://www.sec.gov/Archives/edgar/data/882104/000088210420000166/a202010018-kex102.htm" TargetMode="External"/><Relationship Id="rId268" Type="http://schemas.openxmlformats.org/officeDocument/2006/relationships/hyperlink" Target="http://www.sec.gov/Archives/edgar/data/882104/000088210420000181/pdli-2020093010q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2021-03-29T05:48:55Z</dcterms:created>
  <dcterms:modified xsi:type="dcterms:W3CDTF">2021-03-29T05:48:55Z</dcterms:modified>
</cp:coreProperties>
</file>